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78AF" w14:textId="77777777" w:rsidR="005B4DCD" w:rsidRPr="00E1051E" w:rsidRDefault="005B4DCD" w:rsidP="00E1051E">
      <w:pPr>
        <w:spacing w:after="120" w:line="240" w:lineRule="auto"/>
        <w:jc w:val="center"/>
        <w:rPr>
          <w:b/>
        </w:rPr>
      </w:pPr>
      <w:r w:rsidRPr="00E1051E">
        <w:rPr>
          <w:b/>
        </w:rPr>
        <w:t>Instituto do Patrimônio Histórico e Artístico Nacional</w:t>
      </w:r>
    </w:p>
    <w:p w14:paraId="7E42BA8C" w14:textId="77777777" w:rsidR="00E1051E" w:rsidRDefault="00E1051E" w:rsidP="00E1051E">
      <w:pPr>
        <w:spacing w:after="120" w:line="240" w:lineRule="auto"/>
        <w:jc w:val="center"/>
      </w:pPr>
    </w:p>
    <w:p w14:paraId="60FB790E" w14:textId="6B668776" w:rsidR="005B4DCD" w:rsidRPr="00E1051E" w:rsidRDefault="005B4DCD" w:rsidP="00E1051E">
      <w:pPr>
        <w:spacing w:after="120" w:line="240" w:lineRule="auto"/>
        <w:jc w:val="center"/>
      </w:pPr>
      <w:r w:rsidRPr="00E1051E">
        <w:t xml:space="preserve">PORTARIA nº              </w:t>
      </w:r>
      <w:proofErr w:type="gramStart"/>
      <w:r w:rsidRPr="00E1051E">
        <w:t xml:space="preserve">  ,</w:t>
      </w:r>
      <w:proofErr w:type="gramEnd"/>
      <w:r w:rsidRPr="00E1051E">
        <w:t xml:space="preserve"> de</w:t>
      </w:r>
      <w:r w:rsidR="00F128A4">
        <w:t xml:space="preserve">         </w:t>
      </w:r>
      <w:r w:rsidRPr="00E1051E">
        <w:t xml:space="preserve"> </w:t>
      </w:r>
      <w:proofErr w:type="spellStart"/>
      <w:r w:rsidR="001601EE">
        <w:t>de</w:t>
      </w:r>
      <w:proofErr w:type="spellEnd"/>
      <w:r w:rsidR="001601EE">
        <w:t xml:space="preserve">                              </w:t>
      </w:r>
      <w:proofErr w:type="spellStart"/>
      <w:r w:rsidRPr="00E1051E">
        <w:t>de</w:t>
      </w:r>
      <w:proofErr w:type="spellEnd"/>
      <w:r w:rsidRPr="00E1051E">
        <w:t xml:space="preserve"> 2016</w:t>
      </w:r>
    </w:p>
    <w:p w14:paraId="2A5FF304" w14:textId="77777777" w:rsidR="00E1051E" w:rsidRPr="00E1051E" w:rsidRDefault="00E1051E" w:rsidP="00E1051E">
      <w:pPr>
        <w:spacing w:after="120" w:line="240" w:lineRule="auto"/>
        <w:jc w:val="both"/>
      </w:pPr>
    </w:p>
    <w:p w14:paraId="3DFAADA1" w14:textId="438CA8CE" w:rsidR="00E1051E" w:rsidRPr="00EF315A" w:rsidRDefault="00E1051E" w:rsidP="00E1051E">
      <w:pPr>
        <w:spacing w:after="120" w:line="240" w:lineRule="auto"/>
        <w:ind w:left="3969"/>
        <w:jc w:val="both"/>
        <w:rPr>
          <w:b/>
        </w:rPr>
      </w:pPr>
      <w:r w:rsidRPr="00E1051E">
        <w:rPr>
          <w:b/>
        </w:rPr>
        <w:t xml:space="preserve">Dispõe sobre os procedimentos a serem observados pelas pessoas físicas ou jurídicas que comercializem </w:t>
      </w:r>
      <w:r w:rsidRPr="00EF315A">
        <w:rPr>
          <w:b/>
        </w:rPr>
        <w:t>Antiguidades e/ou Obras de Arte de Qualquer Natureza</w:t>
      </w:r>
      <w:r w:rsidR="005125CF" w:rsidRPr="00EF315A">
        <w:rPr>
          <w:b/>
        </w:rPr>
        <w:t xml:space="preserve">, na forma da Lei nº 9.613, de </w:t>
      </w:r>
      <w:r w:rsidR="001601EE" w:rsidRPr="00EF315A">
        <w:rPr>
          <w:b/>
        </w:rPr>
        <w:t xml:space="preserve">3 de março de </w:t>
      </w:r>
      <w:r w:rsidR="005125CF" w:rsidRPr="00EF315A">
        <w:rPr>
          <w:b/>
        </w:rPr>
        <w:t>1998</w:t>
      </w:r>
      <w:r w:rsidRPr="00EF315A">
        <w:rPr>
          <w:b/>
        </w:rPr>
        <w:t>.</w:t>
      </w:r>
    </w:p>
    <w:p w14:paraId="54E3D6C6" w14:textId="77777777" w:rsidR="00E1051E" w:rsidRDefault="00E1051E" w:rsidP="00E1051E">
      <w:pPr>
        <w:spacing w:after="120" w:line="240" w:lineRule="auto"/>
        <w:jc w:val="both"/>
      </w:pPr>
    </w:p>
    <w:p w14:paraId="43B3493D" w14:textId="2AE09B47" w:rsidR="005B4DCD" w:rsidRPr="00E1051E" w:rsidRDefault="00F42DA6" w:rsidP="00E1051E">
      <w:pPr>
        <w:spacing w:after="120" w:line="240" w:lineRule="auto"/>
        <w:jc w:val="both"/>
      </w:pPr>
      <w:r>
        <w:t>A P</w:t>
      </w:r>
      <w:r w:rsidR="005B4DCD" w:rsidRPr="00E1051E">
        <w:t>resident</w:t>
      </w:r>
      <w:r w:rsidR="0093069E">
        <w:t>a</w:t>
      </w:r>
      <w:r w:rsidR="005B4DCD" w:rsidRPr="00E1051E">
        <w:t xml:space="preserve"> do Instituto do Patrimônio Histórico e Artístico Nacional/IPHAN, no uso das atribuições que lhe são legalmente conferidas pelo </w:t>
      </w:r>
      <w:r w:rsidR="00220164">
        <w:t>A</w:t>
      </w:r>
      <w:r w:rsidR="005B4DCD" w:rsidRPr="00E1051E">
        <w:t>rt. 21, inciso V, do Anexo I do Decreto nº. 6.844, de</w:t>
      </w:r>
      <w:r w:rsidR="0093069E">
        <w:t xml:space="preserve"> 7 de maio de</w:t>
      </w:r>
      <w:r w:rsidR="005B4DCD" w:rsidRPr="00E1051E">
        <w:t xml:space="preserve"> 2009, e</w:t>
      </w:r>
    </w:p>
    <w:p w14:paraId="500D84CC" w14:textId="77777777" w:rsidR="005B4DCD" w:rsidRPr="00E1051E" w:rsidRDefault="005B4DCD" w:rsidP="00E1051E">
      <w:pPr>
        <w:spacing w:after="120" w:line="240" w:lineRule="auto"/>
        <w:jc w:val="both"/>
      </w:pPr>
      <w:r w:rsidRPr="00E1051E">
        <w:t>Considerando</w:t>
      </w:r>
    </w:p>
    <w:p w14:paraId="31AC6592" w14:textId="77777777" w:rsidR="005B4DCD" w:rsidRPr="00E1051E" w:rsidRDefault="005B4DCD" w:rsidP="00E1051E">
      <w:pPr>
        <w:spacing w:after="120" w:line="240" w:lineRule="auto"/>
        <w:jc w:val="both"/>
      </w:pPr>
      <w:r w:rsidRPr="00E1051E">
        <w:t xml:space="preserve">o disposto nos Artigos nº 26 e 27 do Decreto-Lei nº 25, de </w:t>
      </w:r>
      <w:r w:rsidR="0093069E">
        <w:t xml:space="preserve">30 de novembro de </w:t>
      </w:r>
      <w:r w:rsidRPr="00E1051E">
        <w:t>1937;</w:t>
      </w:r>
    </w:p>
    <w:p w14:paraId="3DC15540" w14:textId="0634BF1B" w:rsidR="005B4DCD" w:rsidRPr="00E1051E" w:rsidRDefault="005B4DCD" w:rsidP="00E1051E">
      <w:pPr>
        <w:spacing w:after="120" w:line="240" w:lineRule="auto"/>
        <w:jc w:val="both"/>
      </w:pPr>
      <w:r w:rsidRPr="00E1051E">
        <w:t>o disposto nos Artigos 9º., XI, 10º, 11 e 12 da Lei nº. 9.613, de 1998;</w:t>
      </w:r>
    </w:p>
    <w:p w14:paraId="6A25728D" w14:textId="22CE538E" w:rsidR="005B4DCD" w:rsidRPr="00E1051E" w:rsidRDefault="005B4DCD" w:rsidP="00E1051E">
      <w:pPr>
        <w:spacing w:after="120" w:line="240" w:lineRule="auto"/>
        <w:jc w:val="both"/>
      </w:pPr>
      <w:r w:rsidRPr="00E1051E">
        <w:t>a</w:t>
      </w:r>
      <w:r w:rsidR="001601EE">
        <w:t xml:space="preserve"> </w:t>
      </w:r>
      <w:r w:rsidR="00F42DA6">
        <w:t>I</w:t>
      </w:r>
      <w:r w:rsidRPr="00E1051E">
        <w:t xml:space="preserve">nstrução Normativa Iphan nº 1, de </w:t>
      </w:r>
      <w:r w:rsidR="00AF33F5">
        <w:t xml:space="preserve">11 de junho de </w:t>
      </w:r>
      <w:r w:rsidRPr="00E1051E">
        <w:t>2007</w:t>
      </w:r>
    </w:p>
    <w:p w14:paraId="39A881C3" w14:textId="77777777" w:rsidR="00E1051E" w:rsidRPr="00E1051E" w:rsidRDefault="00E1051E" w:rsidP="00E1051E">
      <w:pPr>
        <w:spacing w:after="120" w:line="240" w:lineRule="auto"/>
        <w:jc w:val="both"/>
      </w:pPr>
    </w:p>
    <w:p w14:paraId="1086D6F5" w14:textId="77777777" w:rsidR="00E1051E" w:rsidRPr="00E1051E" w:rsidRDefault="00E1051E" w:rsidP="00E1051E">
      <w:pPr>
        <w:spacing w:after="120" w:line="240" w:lineRule="auto"/>
        <w:jc w:val="both"/>
      </w:pPr>
      <w:r w:rsidRPr="00E1051E">
        <w:t>Resolve</w:t>
      </w:r>
      <w:r w:rsidR="005155FE">
        <w:t>:</w:t>
      </w:r>
    </w:p>
    <w:p w14:paraId="1FF12290" w14:textId="77777777" w:rsidR="005B4DCD" w:rsidRPr="00E1051E" w:rsidRDefault="005B4DCD" w:rsidP="00E1051E">
      <w:pPr>
        <w:spacing w:after="120" w:line="240" w:lineRule="auto"/>
      </w:pPr>
    </w:p>
    <w:p w14:paraId="00C7B294" w14:textId="77777777" w:rsidR="005B4DCD" w:rsidRPr="00E1051E" w:rsidRDefault="005B4DCD" w:rsidP="00E1051E">
      <w:pPr>
        <w:spacing w:after="120" w:line="240" w:lineRule="auto"/>
        <w:jc w:val="center"/>
        <w:rPr>
          <w:b/>
        </w:rPr>
      </w:pPr>
      <w:r w:rsidRPr="00E1051E">
        <w:rPr>
          <w:b/>
        </w:rPr>
        <w:t>Seção I Do Alcance</w:t>
      </w:r>
    </w:p>
    <w:p w14:paraId="081A7717" w14:textId="54EBF61D" w:rsidR="005B4DCD" w:rsidRPr="00E1051E" w:rsidRDefault="005B4DCD" w:rsidP="00E1051E">
      <w:pPr>
        <w:spacing w:after="120" w:line="240" w:lineRule="auto"/>
        <w:jc w:val="both"/>
      </w:pPr>
      <w:r w:rsidRPr="00E1051E">
        <w:rPr>
          <w:b/>
        </w:rPr>
        <w:t>Art. 1º</w:t>
      </w:r>
      <w:r w:rsidR="007853D4">
        <w:rPr>
          <w:b/>
        </w:rPr>
        <w:t>.</w:t>
      </w:r>
      <w:r w:rsidRPr="00E1051E">
        <w:t xml:space="preserve"> </w:t>
      </w:r>
      <w:r w:rsidR="006179EB">
        <w:t xml:space="preserve">Com o objetivo de prevenir os crimes de </w:t>
      </w:r>
      <w:r w:rsidRPr="00E1051E">
        <w:t>"lavagem" de dinheiro e financiamento do terrorismo, incluindo ocultação de bens, direitos e valores, conforme estabelecido na Lei nº 9.613, de 1998</w:t>
      </w:r>
      <w:r w:rsidR="00237C1E">
        <w:t>,</w:t>
      </w:r>
      <w:r w:rsidRPr="00E1051E">
        <w:t xml:space="preserve"> as pessoas físicas ou jurídicas que comercializem Antiguidades e Obras de Arte de Qualquer Natureza</w:t>
      </w:r>
      <w:r w:rsidR="00EE20CF">
        <w:t xml:space="preserve">, nacionais ou </w:t>
      </w:r>
      <w:r w:rsidR="00237C1E">
        <w:t>não, deverão</w:t>
      </w:r>
      <w:r w:rsidR="006179EB">
        <w:t xml:space="preserve"> observar as disp</w:t>
      </w:r>
      <w:r w:rsidR="00237C1E">
        <w:t>osições constantes na presente P</w:t>
      </w:r>
      <w:r w:rsidR="006179EB">
        <w:t>ortaria</w:t>
      </w:r>
      <w:r w:rsidRPr="00E1051E">
        <w:t>.</w:t>
      </w:r>
    </w:p>
    <w:p w14:paraId="7A575DFB" w14:textId="0F3B8C3F" w:rsidR="005B4DCD" w:rsidRPr="00E1051E" w:rsidRDefault="006973E9" w:rsidP="00E1051E">
      <w:pPr>
        <w:spacing w:after="120" w:line="240" w:lineRule="auto"/>
        <w:jc w:val="both"/>
      </w:pPr>
      <w:r w:rsidRPr="006973E9">
        <w:rPr>
          <w:b/>
        </w:rPr>
        <w:t>Parágrafo Único</w:t>
      </w:r>
      <w:r>
        <w:t>.</w:t>
      </w:r>
      <w:r w:rsidR="005B4DCD" w:rsidRPr="00E1051E">
        <w:t xml:space="preserve"> Enquadram-se nas disposições desta Portaria as pessoas físicas ou jurídicas que </w:t>
      </w:r>
      <w:r w:rsidR="00587AE2">
        <w:t xml:space="preserve">comercializem </w:t>
      </w:r>
      <w:r w:rsidR="00587AE2" w:rsidRPr="00E1051E">
        <w:t>objetos de Antiguidades ou Obras de Arte de Qualquer Natureza</w:t>
      </w:r>
      <w:r w:rsidR="00587AE2">
        <w:t xml:space="preserve">, </w:t>
      </w:r>
      <w:r w:rsidR="004F5C59">
        <w:t xml:space="preserve">de forma direta ou indireta, </w:t>
      </w:r>
      <w:r w:rsidR="00587AE2">
        <w:t xml:space="preserve">inclusive mediante </w:t>
      </w:r>
      <w:r w:rsidR="00790D81">
        <w:t>receb</w:t>
      </w:r>
      <w:r w:rsidR="00237C1E">
        <w:t>imento</w:t>
      </w:r>
      <w:r w:rsidR="00790D81">
        <w:t xml:space="preserve"> ou ce</w:t>
      </w:r>
      <w:r w:rsidR="00237C1E">
        <w:t>ssão</w:t>
      </w:r>
      <w:r w:rsidR="00790D81">
        <w:t xml:space="preserve"> em </w:t>
      </w:r>
      <w:r w:rsidR="00C336DD">
        <w:t>consigna</w:t>
      </w:r>
      <w:r w:rsidR="00790D81">
        <w:t>ção</w:t>
      </w:r>
      <w:r w:rsidR="00C336DD">
        <w:t xml:space="preserve">, </w:t>
      </w:r>
      <w:r w:rsidR="005B4DCD" w:rsidRPr="00E1051E">
        <w:t>import</w:t>
      </w:r>
      <w:r w:rsidR="00237C1E">
        <w:t>ação</w:t>
      </w:r>
      <w:r w:rsidR="005B4DCD" w:rsidRPr="00E1051E">
        <w:t xml:space="preserve"> ou export</w:t>
      </w:r>
      <w:r w:rsidR="00237C1E">
        <w:t>ação</w:t>
      </w:r>
      <w:r w:rsidR="005B4DCD" w:rsidRPr="00E1051E">
        <w:t xml:space="preserve">, </w:t>
      </w:r>
      <w:r w:rsidR="00237C1E">
        <w:t xml:space="preserve">posse em </w:t>
      </w:r>
      <w:r w:rsidR="00EE20CF">
        <w:t xml:space="preserve">depósito, </w:t>
      </w:r>
      <w:r w:rsidR="005B4DCD" w:rsidRPr="00E1051E">
        <w:t>intermed</w:t>
      </w:r>
      <w:r w:rsidR="00237C1E">
        <w:t>iação de</w:t>
      </w:r>
      <w:r w:rsidR="005B4DCD" w:rsidRPr="00E1051E">
        <w:t xml:space="preserve"> compra ou venda, leilão, </w:t>
      </w:r>
      <w:r w:rsidR="00EE20CF">
        <w:t>feiras ou mercados informais</w:t>
      </w:r>
      <w:r w:rsidR="005B4DCD" w:rsidRPr="00E1051E">
        <w:t>, em caráter</w:t>
      </w:r>
      <w:r w:rsidR="00215650">
        <w:t xml:space="preserve"> </w:t>
      </w:r>
      <w:r w:rsidR="005B4DCD" w:rsidRPr="00E1051E">
        <w:t>permanente ou eventual, de forma principal ou acessória, cumulativamente ou não.</w:t>
      </w:r>
    </w:p>
    <w:p w14:paraId="5CECDFEE" w14:textId="77777777" w:rsidR="0017686E" w:rsidRDefault="0017686E" w:rsidP="00E1051E">
      <w:pPr>
        <w:spacing w:after="120" w:line="240" w:lineRule="auto"/>
        <w:jc w:val="both"/>
        <w:rPr>
          <w:iCs/>
        </w:rPr>
      </w:pPr>
    </w:p>
    <w:p w14:paraId="1C4563CB" w14:textId="7EC6900B" w:rsidR="005B4DCD" w:rsidRPr="00E1051E" w:rsidRDefault="0017686E" w:rsidP="00E1051E">
      <w:pPr>
        <w:spacing w:after="120" w:line="240" w:lineRule="auto"/>
        <w:jc w:val="both"/>
        <w:rPr>
          <w:iCs/>
        </w:rPr>
      </w:pPr>
      <w:r w:rsidRPr="001B2672">
        <w:rPr>
          <w:b/>
          <w:iCs/>
        </w:rPr>
        <w:t xml:space="preserve">Art. </w:t>
      </w:r>
      <w:r w:rsidR="00EF315A" w:rsidRPr="001B2672">
        <w:rPr>
          <w:b/>
          <w:iCs/>
        </w:rPr>
        <w:t>2º</w:t>
      </w:r>
      <w:r w:rsidR="007853D4">
        <w:rPr>
          <w:b/>
          <w:iCs/>
        </w:rPr>
        <w:t>.</w:t>
      </w:r>
      <w:r w:rsidR="006A761E" w:rsidRPr="00E1051E">
        <w:rPr>
          <w:iCs/>
        </w:rPr>
        <w:t xml:space="preserve"> </w:t>
      </w:r>
      <w:r w:rsidR="006608B6" w:rsidRPr="00E1051E">
        <w:rPr>
          <w:iCs/>
        </w:rPr>
        <w:t xml:space="preserve">As pessoas mencionadas </w:t>
      </w:r>
      <w:r w:rsidR="000D1344">
        <w:rPr>
          <w:iCs/>
        </w:rPr>
        <w:t xml:space="preserve">no </w:t>
      </w:r>
      <w:r w:rsidR="00237C1E">
        <w:rPr>
          <w:iCs/>
        </w:rPr>
        <w:t>A</w:t>
      </w:r>
      <w:r w:rsidR="000D1344">
        <w:rPr>
          <w:iCs/>
        </w:rPr>
        <w:t xml:space="preserve">rt. 1º </w:t>
      </w:r>
      <w:r w:rsidR="006608B6" w:rsidRPr="00E1051E">
        <w:rPr>
          <w:iCs/>
        </w:rPr>
        <w:t xml:space="preserve">devem </w:t>
      </w:r>
      <w:r w:rsidR="008D1837">
        <w:rPr>
          <w:iCs/>
        </w:rPr>
        <w:t xml:space="preserve">se cadastrar e </w:t>
      </w:r>
      <w:r w:rsidR="006A761E" w:rsidRPr="00E1051E">
        <w:rPr>
          <w:iCs/>
        </w:rPr>
        <w:t xml:space="preserve">manter suas informações </w:t>
      </w:r>
      <w:r w:rsidR="007B55C7" w:rsidRPr="00E1051E">
        <w:rPr>
          <w:iCs/>
        </w:rPr>
        <w:t xml:space="preserve">atualizadas </w:t>
      </w:r>
      <w:r w:rsidR="006608B6" w:rsidRPr="00E1051E">
        <w:rPr>
          <w:iCs/>
        </w:rPr>
        <w:t>no Cadastro Nacional de Negociantes de Obras de Arte</w:t>
      </w:r>
      <w:r w:rsidR="00220164">
        <w:rPr>
          <w:iCs/>
        </w:rPr>
        <w:t xml:space="preserve"> e</w:t>
      </w:r>
      <w:r w:rsidR="006608B6" w:rsidRPr="00E1051E">
        <w:rPr>
          <w:iCs/>
        </w:rPr>
        <w:t xml:space="preserve"> Antiguidades</w:t>
      </w:r>
      <w:r w:rsidR="00220164" w:rsidRPr="00E1051E">
        <w:rPr>
          <w:iCs/>
        </w:rPr>
        <w:t xml:space="preserve"> </w:t>
      </w:r>
      <w:r w:rsidR="006608B6" w:rsidRPr="00E1051E">
        <w:rPr>
          <w:iCs/>
        </w:rPr>
        <w:t>/CNART do Instituto do Patrimônio Histórico Nacional/IPHAN</w:t>
      </w:r>
      <w:r w:rsidR="006A761E" w:rsidRPr="00E1051E">
        <w:rPr>
          <w:iCs/>
        </w:rPr>
        <w:t>.</w:t>
      </w:r>
    </w:p>
    <w:p w14:paraId="2BCE44A7" w14:textId="77777777" w:rsidR="00E1051E" w:rsidRDefault="00E1051E" w:rsidP="00E1051E">
      <w:pPr>
        <w:spacing w:after="120" w:line="240" w:lineRule="auto"/>
        <w:jc w:val="center"/>
        <w:rPr>
          <w:b/>
        </w:rPr>
      </w:pPr>
    </w:p>
    <w:p w14:paraId="3D0918BF" w14:textId="77777777" w:rsidR="00A640DA" w:rsidRDefault="00A640DA" w:rsidP="00E1051E">
      <w:pPr>
        <w:spacing w:after="120" w:line="240" w:lineRule="auto"/>
        <w:jc w:val="center"/>
        <w:rPr>
          <w:b/>
        </w:rPr>
      </w:pPr>
    </w:p>
    <w:p w14:paraId="232C9243" w14:textId="1B6EE52E" w:rsidR="005B4DCD" w:rsidRPr="00E1051E" w:rsidRDefault="005B4DCD" w:rsidP="00E1051E">
      <w:pPr>
        <w:spacing w:after="120" w:line="240" w:lineRule="auto"/>
        <w:jc w:val="center"/>
        <w:rPr>
          <w:b/>
        </w:rPr>
      </w:pPr>
      <w:r w:rsidRPr="00E1051E">
        <w:rPr>
          <w:b/>
        </w:rPr>
        <w:t>Seção II D</w:t>
      </w:r>
      <w:r w:rsidR="00023574">
        <w:rPr>
          <w:b/>
        </w:rPr>
        <w:t>os procedimentos e controles internos</w:t>
      </w:r>
    </w:p>
    <w:p w14:paraId="7FF3D4C6" w14:textId="7BD95863" w:rsidR="000424E7" w:rsidRPr="00E1051E" w:rsidRDefault="000424E7" w:rsidP="00E1051E">
      <w:pPr>
        <w:spacing w:after="120" w:line="240" w:lineRule="auto"/>
        <w:jc w:val="both"/>
      </w:pPr>
      <w:r w:rsidRPr="00E1051E">
        <w:rPr>
          <w:b/>
        </w:rPr>
        <w:t xml:space="preserve">Art. </w:t>
      </w:r>
      <w:r w:rsidR="001B2672">
        <w:rPr>
          <w:b/>
        </w:rPr>
        <w:t>3</w:t>
      </w:r>
      <w:r w:rsidRPr="00E1051E">
        <w:rPr>
          <w:b/>
        </w:rPr>
        <w:t>º</w:t>
      </w:r>
      <w:r w:rsidR="007853D4">
        <w:rPr>
          <w:b/>
        </w:rPr>
        <w:t>.</w:t>
      </w:r>
      <w:r w:rsidRPr="00E1051E">
        <w:t xml:space="preserve"> As pessoas</w:t>
      </w:r>
      <w:r w:rsidR="004D6647" w:rsidRPr="00E1051E">
        <w:t xml:space="preserve"> de que trata </w:t>
      </w:r>
      <w:r w:rsidR="001B2672">
        <w:t xml:space="preserve">o </w:t>
      </w:r>
      <w:r w:rsidR="00237C1E">
        <w:t>A</w:t>
      </w:r>
      <w:r w:rsidRPr="00E1051E">
        <w:t>rt. 1º devem estabelecer e implementar</w:t>
      </w:r>
      <w:r w:rsidR="00AC4482">
        <w:t xml:space="preserve"> seus </w:t>
      </w:r>
      <w:r w:rsidRPr="00E1051E">
        <w:t>próprio</w:t>
      </w:r>
      <w:r w:rsidR="00AC4482">
        <w:t>s</w:t>
      </w:r>
      <w:r w:rsidRPr="00E1051E">
        <w:t xml:space="preserve"> </w:t>
      </w:r>
      <w:r w:rsidR="002111EA" w:rsidRPr="00237C1E">
        <w:t>procedimentos e controles internos</w:t>
      </w:r>
      <w:r w:rsidR="002111EA">
        <w:rPr>
          <w:b/>
        </w:rPr>
        <w:t xml:space="preserve"> </w:t>
      </w:r>
      <w:r w:rsidRPr="00E1051E">
        <w:t>de prevenção à lavagem de dinheiro e</w:t>
      </w:r>
      <w:r w:rsidR="00215650">
        <w:t xml:space="preserve"> ao</w:t>
      </w:r>
      <w:r w:rsidRPr="00E1051E">
        <w:t xml:space="preserve"> financiamento do </w:t>
      </w:r>
      <w:r w:rsidRPr="00E1051E">
        <w:lastRenderedPageBreak/>
        <w:t>terrorismo</w:t>
      </w:r>
      <w:r w:rsidR="00237C1E">
        <w:t xml:space="preserve">, </w:t>
      </w:r>
      <w:r w:rsidRPr="00E1051E">
        <w:t>compatíve</w:t>
      </w:r>
      <w:r w:rsidR="00237C1E">
        <w:t>is</w:t>
      </w:r>
      <w:r w:rsidRPr="00E1051E">
        <w:t xml:space="preserve"> com seu volume de operações e, no caso de pessoas jurídicas, com seu porte, </w:t>
      </w:r>
      <w:r w:rsidR="00237C1E">
        <w:t>os</w:t>
      </w:r>
      <w:r w:rsidRPr="00E1051E">
        <w:t xml:space="preserve"> qua</w:t>
      </w:r>
      <w:r w:rsidR="00237C1E">
        <w:t>is</w:t>
      </w:r>
      <w:r w:rsidRPr="00E1051E">
        <w:t xml:space="preserve"> deve</w:t>
      </w:r>
      <w:r w:rsidR="00237C1E">
        <w:t>m</w:t>
      </w:r>
      <w:r w:rsidRPr="00E1051E">
        <w:t xml:space="preserve"> abranger, no mínimo, procedimentos e controles destinados a:</w:t>
      </w:r>
    </w:p>
    <w:p w14:paraId="4836B839" w14:textId="77777777" w:rsidR="000424E7" w:rsidRPr="00E1051E" w:rsidRDefault="000424E7" w:rsidP="00E1051E">
      <w:pPr>
        <w:spacing w:after="120" w:line="240" w:lineRule="auto"/>
        <w:jc w:val="both"/>
      </w:pPr>
      <w:r w:rsidRPr="00E1051E">
        <w:t>I – identificar e realizar diligência para qualificação dos clientes e demais envolvidos nas operações que realizarem;</w:t>
      </w:r>
    </w:p>
    <w:p w14:paraId="76464C21" w14:textId="77777777" w:rsidR="000424E7" w:rsidRPr="00E1051E" w:rsidRDefault="000424E7" w:rsidP="00E1051E">
      <w:pPr>
        <w:spacing w:after="120" w:line="240" w:lineRule="auto"/>
        <w:jc w:val="both"/>
      </w:pPr>
      <w:r w:rsidRPr="00E1051E">
        <w:t>II – obter informações sobre o propósito e a natureza das relações de negócio;</w:t>
      </w:r>
    </w:p>
    <w:p w14:paraId="01E37DA3" w14:textId="77777777" w:rsidR="000424E7" w:rsidRPr="00E1051E" w:rsidRDefault="000424E7" w:rsidP="00E1051E">
      <w:pPr>
        <w:spacing w:after="120" w:line="240" w:lineRule="auto"/>
        <w:jc w:val="both"/>
      </w:pPr>
      <w:r w:rsidRPr="00E1051E">
        <w:t>III – identificar o beneficiário final das operações sempre que possível;</w:t>
      </w:r>
    </w:p>
    <w:p w14:paraId="0F577C35" w14:textId="0F356959" w:rsidR="001B6015" w:rsidRDefault="000424E7" w:rsidP="00E1051E">
      <w:pPr>
        <w:spacing w:after="120" w:line="240" w:lineRule="auto"/>
        <w:jc w:val="both"/>
      </w:pPr>
      <w:r w:rsidRPr="00E1051E">
        <w:t xml:space="preserve">IV – identificar as operações ou propostas de operações </w:t>
      </w:r>
      <w:r w:rsidR="00215650">
        <w:t>passíveis</w:t>
      </w:r>
      <w:r w:rsidRPr="00E1051E">
        <w:t xml:space="preserve"> de comunicação</w:t>
      </w:r>
      <w:r w:rsidR="00220164">
        <w:t>, nos termos do A</w:t>
      </w:r>
      <w:r w:rsidR="00215650">
        <w:t xml:space="preserve">rt. </w:t>
      </w:r>
      <w:r w:rsidR="0017686E">
        <w:t>11</w:t>
      </w:r>
      <w:r w:rsidR="00215650">
        <w:t xml:space="preserve"> da lei nº 9.613, de 1998</w:t>
      </w:r>
      <w:r w:rsidR="00EF315A">
        <w:t>;</w:t>
      </w:r>
    </w:p>
    <w:p w14:paraId="2A44B441" w14:textId="08D0A3D2" w:rsidR="000424E7" w:rsidRPr="00E1051E" w:rsidRDefault="001B6015" w:rsidP="00E1051E">
      <w:pPr>
        <w:spacing w:after="120" w:line="240" w:lineRule="auto"/>
        <w:jc w:val="both"/>
      </w:pPr>
      <w:r>
        <w:t>V – capacita</w:t>
      </w:r>
      <w:r w:rsidR="009C0894">
        <w:t>r</w:t>
      </w:r>
      <w:r>
        <w:t xml:space="preserve"> e treina</w:t>
      </w:r>
      <w:r w:rsidR="009C0894">
        <w:t>r empregados;</w:t>
      </w:r>
    </w:p>
    <w:p w14:paraId="28C3F888" w14:textId="3F0A5442" w:rsidR="000424E7" w:rsidRDefault="000424E7" w:rsidP="00E1051E">
      <w:pPr>
        <w:spacing w:after="120" w:line="240" w:lineRule="auto"/>
        <w:jc w:val="both"/>
      </w:pPr>
      <w:r w:rsidRPr="00E1051E">
        <w:t>V</w:t>
      </w:r>
      <w:r w:rsidR="001B6015">
        <w:t>I</w:t>
      </w:r>
      <w:r w:rsidRPr="00E1051E">
        <w:t xml:space="preserve"> – verifica</w:t>
      </w:r>
      <w:r w:rsidR="009C0894">
        <w:t>r</w:t>
      </w:r>
      <w:r w:rsidRPr="00E1051E">
        <w:t xml:space="preserve"> peri</w:t>
      </w:r>
      <w:r w:rsidR="009C0894">
        <w:t>o</w:t>
      </w:r>
      <w:r w:rsidRPr="00E1051E">
        <w:t>dica</w:t>
      </w:r>
      <w:r w:rsidR="009C0894">
        <w:t>mente</w:t>
      </w:r>
      <w:r w:rsidRPr="00E1051E">
        <w:t xml:space="preserve"> </w:t>
      </w:r>
      <w:r w:rsidR="009C0894">
        <w:t>a eficácia da política adotada;</w:t>
      </w:r>
      <w:r w:rsidR="009E2219">
        <w:t xml:space="preserve"> e</w:t>
      </w:r>
    </w:p>
    <w:p w14:paraId="1C42ADE9" w14:textId="788ED817" w:rsidR="009C0894" w:rsidRDefault="009C0894" w:rsidP="00E1051E">
      <w:pPr>
        <w:spacing w:after="120" w:line="240" w:lineRule="auto"/>
        <w:jc w:val="both"/>
      </w:pPr>
      <w:r>
        <w:t>V</w:t>
      </w:r>
      <w:r w:rsidR="006973E9">
        <w:t>I</w:t>
      </w:r>
      <w:r>
        <w:t>I –</w:t>
      </w:r>
      <w:r w:rsidR="009E2219">
        <w:t xml:space="preserve"> implementar Códigos de Conduta.</w:t>
      </w:r>
    </w:p>
    <w:p w14:paraId="012247DC" w14:textId="77777777" w:rsidR="000424E7" w:rsidRPr="00E1051E" w:rsidRDefault="000424E7" w:rsidP="00E1051E">
      <w:pPr>
        <w:spacing w:after="120" w:line="240" w:lineRule="auto"/>
        <w:jc w:val="both"/>
      </w:pPr>
      <w:r w:rsidRPr="00E1051E">
        <w:rPr>
          <w:b/>
        </w:rPr>
        <w:t>Parágrafo Único.</w:t>
      </w:r>
      <w:r w:rsidRPr="00E1051E">
        <w:t xml:space="preserve"> Em se tratando de pessoas jurídicas que possuam um quadro de funcionários superior a dez (10), a política mencionada no caput deve ser formalizada expressamente com aprovação pelo detentor de autoridade máxima de gestão, </w:t>
      </w:r>
      <w:bookmarkStart w:id="0" w:name="_GoBack"/>
      <w:bookmarkEnd w:id="0"/>
      <w:r w:rsidRPr="00E1051E">
        <w:t>com divulgação do conteúdo ao quadro de pessoal por processos institucionalizados e de caráter contínuo, incluindo treinamento e monitoramento das atividades desenvolvidas pelos empregados.</w:t>
      </w:r>
    </w:p>
    <w:p w14:paraId="6E6F8CF5" w14:textId="77777777" w:rsidR="00E1051E" w:rsidRDefault="00E1051E" w:rsidP="00E1051E">
      <w:pPr>
        <w:spacing w:after="120" w:line="240" w:lineRule="auto"/>
      </w:pPr>
    </w:p>
    <w:p w14:paraId="210722C4" w14:textId="77777777" w:rsidR="00A640DA" w:rsidRPr="00E1051E" w:rsidRDefault="00A640DA" w:rsidP="00E1051E">
      <w:pPr>
        <w:spacing w:after="120" w:line="240" w:lineRule="auto"/>
      </w:pPr>
    </w:p>
    <w:p w14:paraId="487F8083" w14:textId="77777777" w:rsidR="00E9064A" w:rsidRPr="005155FE" w:rsidRDefault="000F3F70" w:rsidP="00E1051E">
      <w:pPr>
        <w:spacing w:after="120" w:line="240" w:lineRule="auto"/>
        <w:jc w:val="center"/>
        <w:rPr>
          <w:b/>
        </w:rPr>
      </w:pPr>
      <w:r w:rsidRPr="005155FE">
        <w:rPr>
          <w:b/>
        </w:rPr>
        <w:t>Seção III Do Cadastro de C</w:t>
      </w:r>
      <w:r w:rsidR="00AA09CA" w:rsidRPr="005155FE">
        <w:rPr>
          <w:b/>
        </w:rPr>
        <w:t>lientes</w:t>
      </w:r>
    </w:p>
    <w:p w14:paraId="5E71FA3A" w14:textId="090C5A1F" w:rsidR="005155FE" w:rsidRDefault="001B2672" w:rsidP="005155FE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Art. 4</w:t>
      </w:r>
      <w:r w:rsidR="00E9064A" w:rsidRPr="00EC0C64">
        <w:rPr>
          <w:rFonts w:asciiTheme="minorHAnsi" w:hAnsiTheme="minorHAnsi"/>
          <w:b/>
          <w:iCs/>
          <w:sz w:val="22"/>
          <w:szCs w:val="22"/>
        </w:rPr>
        <w:t>º</w:t>
      </w:r>
      <w:r w:rsidR="007853D4">
        <w:rPr>
          <w:rFonts w:asciiTheme="minorHAnsi" w:hAnsiTheme="minorHAnsi"/>
          <w:b/>
          <w:iCs/>
          <w:sz w:val="22"/>
          <w:szCs w:val="22"/>
        </w:rPr>
        <w:t>.</w:t>
      </w:r>
      <w:r w:rsidR="00EC0C64">
        <w:rPr>
          <w:b/>
          <w:iCs/>
        </w:rPr>
        <w:t xml:space="preserve"> </w:t>
      </w:r>
      <w:r w:rsidR="007F5FF7" w:rsidRPr="005155FE">
        <w:rPr>
          <w:rFonts w:asciiTheme="minorHAnsi" w:hAnsiTheme="minorHAnsi"/>
          <w:iCs/>
          <w:sz w:val="22"/>
          <w:szCs w:val="22"/>
        </w:rPr>
        <w:t>Nas operações de valor igual ou superior a R$ 10.000,00 (dez mil reais), a</w:t>
      </w:r>
      <w:r w:rsidR="004D6647" w:rsidRPr="005155FE">
        <w:rPr>
          <w:rFonts w:asciiTheme="minorHAnsi" w:hAnsiTheme="minorHAnsi"/>
          <w:iCs/>
          <w:sz w:val="22"/>
          <w:szCs w:val="22"/>
        </w:rPr>
        <w:t xml:space="preserve">s pessoas de que trata o </w:t>
      </w:r>
      <w:r w:rsidR="00220164">
        <w:rPr>
          <w:rFonts w:asciiTheme="minorHAnsi" w:hAnsiTheme="minorHAnsi"/>
          <w:iCs/>
          <w:sz w:val="22"/>
          <w:szCs w:val="22"/>
        </w:rPr>
        <w:t>A</w:t>
      </w:r>
      <w:r w:rsidR="004D6647" w:rsidRPr="005155FE">
        <w:rPr>
          <w:rFonts w:asciiTheme="minorHAnsi" w:hAnsiTheme="minorHAnsi"/>
          <w:iCs/>
          <w:sz w:val="22"/>
          <w:szCs w:val="22"/>
        </w:rPr>
        <w:t>rt. 1º devem manter em arquivo próprio cadastro de seus clientes e dos demais envolvidos nas negociações que realizarem, inclusive representantes, procuradores</w:t>
      </w:r>
      <w:r w:rsidR="00E96437" w:rsidRPr="005155FE">
        <w:rPr>
          <w:rFonts w:asciiTheme="minorHAnsi" w:hAnsiTheme="minorHAnsi"/>
          <w:iCs/>
          <w:sz w:val="22"/>
          <w:szCs w:val="22"/>
        </w:rPr>
        <w:t xml:space="preserve">, </w:t>
      </w:r>
      <w:r w:rsidR="004D6647" w:rsidRPr="005155FE">
        <w:rPr>
          <w:rFonts w:asciiTheme="minorHAnsi" w:hAnsiTheme="minorHAnsi"/>
          <w:iCs/>
          <w:sz w:val="22"/>
          <w:szCs w:val="22"/>
        </w:rPr>
        <w:t xml:space="preserve">consignantes, </w:t>
      </w:r>
      <w:r w:rsidR="00E9064A" w:rsidRPr="005155FE">
        <w:rPr>
          <w:rFonts w:asciiTheme="minorHAnsi" w:hAnsiTheme="minorHAnsi"/>
          <w:iCs/>
          <w:sz w:val="22"/>
          <w:szCs w:val="22"/>
        </w:rPr>
        <w:t xml:space="preserve">donos das obras, intermediários, </w:t>
      </w:r>
      <w:r w:rsidR="00247D59" w:rsidRPr="005155FE">
        <w:rPr>
          <w:rFonts w:asciiTheme="minorHAnsi" w:hAnsiTheme="minorHAnsi"/>
          <w:iCs/>
          <w:sz w:val="22"/>
          <w:szCs w:val="22"/>
        </w:rPr>
        <w:t>leiloeiros</w:t>
      </w:r>
      <w:r w:rsidR="00E96437" w:rsidRPr="005155FE">
        <w:rPr>
          <w:rFonts w:asciiTheme="minorHAnsi" w:hAnsiTheme="minorHAnsi"/>
          <w:iCs/>
          <w:sz w:val="22"/>
          <w:szCs w:val="22"/>
        </w:rPr>
        <w:t xml:space="preserve"> e </w:t>
      </w:r>
      <w:r w:rsidR="00E9064A" w:rsidRPr="005155FE">
        <w:rPr>
          <w:rFonts w:asciiTheme="minorHAnsi" w:hAnsiTheme="minorHAnsi"/>
          <w:iCs/>
          <w:sz w:val="22"/>
          <w:szCs w:val="22"/>
        </w:rPr>
        <w:t>beneficiários finais,</w:t>
      </w:r>
      <w:r w:rsidR="008D1837" w:rsidRPr="005155FE">
        <w:rPr>
          <w:rFonts w:asciiTheme="minorHAnsi" w:hAnsiTheme="minorHAnsi"/>
          <w:iCs/>
          <w:sz w:val="22"/>
          <w:szCs w:val="22"/>
        </w:rPr>
        <w:t xml:space="preserve"> em relação aos quais deve constar no mínimo:</w:t>
      </w:r>
    </w:p>
    <w:p w14:paraId="184DAB4B" w14:textId="77777777" w:rsidR="00611547" w:rsidRPr="00611547" w:rsidRDefault="00611547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 w:rsidRPr="00611547">
        <w:rPr>
          <w:rFonts w:asciiTheme="minorHAnsi" w:hAnsiTheme="minorHAnsi"/>
          <w:iCs/>
          <w:sz w:val="22"/>
          <w:szCs w:val="22"/>
        </w:rPr>
        <w:t>I – se pessoa física:</w:t>
      </w:r>
    </w:p>
    <w:p w14:paraId="76B11051" w14:textId="77777777" w:rsidR="00611547" w:rsidRDefault="00611547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 w:rsidRPr="00611547">
        <w:rPr>
          <w:rFonts w:asciiTheme="minorHAnsi" w:hAnsiTheme="minorHAnsi"/>
          <w:iCs/>
          <w:sz w:val="22"/>
          <w:szCs w:val="22"/>
        </w:rPr>
        <w:t>a) nome;</w:t>
      </w:r>
    </w:p>
    <w:p w14:paraId="7AD5BEF8" w14:textId="21BCADF2" w:rsidR="00F67BB2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b) endereço eletrônico e/ou página na internet;</w:t>
      </w:r>
    </w:p>
    <w:p w14:paraId="01CBFCD9" w14:textId="51DB64C6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</w:t>
      </w:r>
      <w:r w:rsidR="00611547" w:rsidRPr="00611547">
        <w:rPr>
          <w:rFonts w:asciiTheme="minorHAnsi" w:hAnsiTheme="minorHAnsi"/>
          <w:iCs/>
          <w:sz w:val="22"/>
          <w:szCs w:val="22"/>
        </w:rPr>
        <w:t>) endereço completo (logradouro, complemento, bairro, cidade, unidade da federação, CEP), telefone;</w:t>
      </w:r>
    </w:p>
    <w:p w14:paraId="09AFC968" w14:textId="253C178C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611547" w:rsidRPr="00611547">
        <w:rPr>
          <w:rFonts w:asciiTheme="minorHAnsi" w:hAnsiTheme="minorHAnsi"/>
          <w:iCs/>
          <w:sz w:val="22"/>
          <w:szCs w:val="22"/>
        </w:rPr>
        <w:t>) número do documento de identificação, nome do órgão expedidor e data de expedição</w:t>
      </w:r>
      <w:r w:rsidR="00611547">
        <w:rPr>
          <w:rFonts w:asciiTheme="minorHAnsi" w:hAnsiTheme="minorHAnsi"/>
          <w:iCs/>
          <w:sz w:val="22"/>
          <w:szCs w:val="22"/>
        </w:rPr>
        <w:t>, se brasileiro;</w:t>
      </w:r>
      <w:r w:rsidR="00611547" w:rsidRPr="00611547">
        <w:rPr>
          <w:rFonts w:asciiTheme="minorHAnsi" w:hAnsiTheme="minorHAnsi"/>
          <w:iCs/>
          <w:sz w:val="22"/>
          <w:szCs w:val="22"/>
        </w:rPr>
        <w:t xml:space="preserve"> ou dados do passaporte ou c</w:t>
      </w:r>
      <w:r w:rsidR="0039684A">
        <w:rPr>
          <w:rFonts w:asciiTheme="minorHAnsi" w:hAnsiTheme="minorHAnsi"/>
          <w:iCs/>
          <w:sz w:val="22"/>
          <w:szCs w:val="22"/>
        </w:rPr>
        <w:t>arteira civil, se estrangeiro;</w:t>
      </w:r>
    </w:p>
    <w:p w14:paraId="37CE5394" w14:textId="3CED84E4" w:rsid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e</w:t>
      </w:r>
      <w:r w:rsidR="00611547" w:rsidRPr="00611547">
        <w:rPr>
          <w:rFonts w:asciiTheme="minorHAnsi" w:hAnsiTheme="minorHAnsi"/>
          <w:iCs/>
          <w:sz w:val="22"/>
          <w:szCs w:val="22"/>
        </w:rPr>
        <w:t>) número de inscrição no Cadastro de Pessoas Físicas – CPF;</w:t>
      </w:r>
      <w:r w:rsidR="0039684A">
        <w:rPr>
          <w:rFonts w:asciiTheme="minorHAnsi" w:hAnsiTheme="minorHAnsi"/>
          <w:iCs/>
          <w:sz w:val="22"/>
          <w:szCs w:val="22"/>
        </w:rPr>
        <w:t xml:space="preserve"> e</w:t>
      </w:r>
    </w:p>
    <w:p w14:paraId="49A931A4" w14:textId="22730D6B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f</w:t>
      </w:r>
      <w:r w:rsidR="00611547">
        <w:rPr>
          <w:rFonts w:asciiTheme="minorHAnsi" w:hAnsiTheme="minorHAnsi"/>
          <w:iCs/>
          <w:sz w:val="22"/>
          <w:szCs w:val="22"/>
        </w:rPr>
        <w:t xml:space="preserve">) </w:t>
      </w:r>
      <w:r w:rsidR="00611547" w:rsidRPr="00E1051E">
        <w:rPr>
          <w:rFonts w:asciiTheme="minorHAnsi" w:hAnsiTheme="minorHAnsi"/>
          <w:sz w:val="22"/>
          <w:szCs w:val="22"/>
        </w:rPr>
        <w:t>enquadra</w:t>
      </w:r>
      <w:r>
        <w:rPr>
          <w:rFonts w:asciiTheme="minorHAnsi" w:hAnsiTheme="minorHAnsi"/>
          <w:sz w:val="22"/>
          <w:szCs w:val="22"/>
        </w:rPr>
        <w:t>mento</w:t>
      </w:r>
      <w:r w:rsidR="0039684A">
        <w:rPr>
          <w:rFonts w:asciiTheme="minorHAnsi" w:hAnsiTheme="minorHAnsi"/>
          <w:sz w:val="22"/>
          <w:szCs w:val="22"/>
        </w:rPr>
        <w:t xml:space="preserve"> </w:t>
      </w:r>
      <w:r w:rsidR="00611547" w:rsidRPr="00E1051E">
        <w:rPr>
          <w:rFonts w:asciiTheme="minorHAnsi" w:hAnsiTheme="minorHAnsi"/>
          <w:sz w:val="22"/>
          <w:szCs w:val="22"/>
        </w:rPr>
        <w:t>na condição de pessoa exposta</w:t>
      </w:r>
      <w:r w:rsidR="00611547">
        <w:rPr>
          <w:rFonts w:asciiTheme="minorHAnsi" w:hAnsiTheme="minorHAnsi"/>
          <w:sz w:val="22"/>
          <w:szCs w:val="22"/>
        </w:rPr>
        <w:t xml:space="preserve"> politicamente</w:t>
      </w:r>
      <w:r w:rsidR="00611547">
        <w:rPr>
          <w:rFonts w:asciiTheme="minorHAnsi" w:hAnsiTheme="minorHAnsi"/>
          <w:color w:val="000000"/>
          <w:sz w:val="22"/>
          <w:szCs w:val="22"/>
        </w:rPr>
        <w:t>, nos termos da Resolução nº 16 do Conselho de Controle de Atividades Financeiras – COAF de 28 de março de 2007</w:t>
      </w:r>
      <w:r>
        <w:rPr>
          <w:rFonts w:asciiTheme="minorHAnsi" w:hAnsiTheme="minorHAnsi"/>
          <w:color w:val="000000"/>
          <w:sz w:val="22"/>
          <w:szCs w:val="22"/>
        </w:rPr>
        <w:t>, se for o caso</w:t>
      </w:r>
      <w:r w:rsidR="00611547">
        <w:rPr>
          <w:rFonts w:asciiTheme="minorHAnsi" w:hAnsiTheme="minorHAnsi"/>
          <w:color w:val="000000"/>
          <w:sz w:val="22"/>
          <w:szCs w:val="22"/>
        </w:rPr>
        <w:t>.</w:t>
      </w:r>
    </w:p>
    <w:p w14:paraId="01693977" w14:textId="77777777" w:rsidR="00611547" w:rsidRPr="00611547" w:rsidRDefault="00611547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 w:rsidRPr="00611547">
        <w:rPr>
          <w:rFonts w:asciiTheme="minorHAnsi" w:hAnsiTheme="minorHAnsi"/>
          <w:iCs/>
          <w:sz w:val="22"/>
          <w:szCs w:val="22"/>
        </w:rPr>
        <w:t>II – se pessoa jurídica:</w:t>
      </w:r>
    </w:p>
    <w:p w14:paraId="3CCE3337" w14:textId="77777777" w:rsidR="00611547" w:rsidRDefault="00611547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 w:rsidRPr="00611547">
        <w:rPr>
          <w:rFonts w:asciiTheme="minorHAnsi" w:hAnsiTheme="minorHAnsi"/>
          <w:iCs/>
          <w:sz w:val="22"/>
          <w:szCs w:val="22"/>
        </w:rPr>
        <w:t>a) denominação ou razão social;</w:t>
      </w:r>
    </w:p>
    <w:p w14:paraId="2C404C85" w14:textId="5E69DA21" w:rsidR="00F67BB2" w:rsidRPr="00611547" w:rsidRDefault="00F67BB2" w:rsidP="00F67BB2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b) endereço eletrônico e/ou página na internet;</w:t>
      </w:r>
    </w:p>
    <w:p w14:paraId="4D8FAC88" w14:textId="0420C52E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</w:t>
      </w:r>
      <w:r w:rsidR="00611547" w:rsidRPr="00611547">
        <w:rPr>
          <w:rFonts w:asciiTheme="minorHAnsi" w:hAnsiTheme="minorHAnsi"/>
          <w:iCs/>
          <w:sz w:val="22"/>
          <w:szCs w:val="22"/>
        </w:rPr>
        <w:t>) número de inscrição no Cadastro Nacional de Pessoa Jurídica – CNPJ;</w:t>
      </w:r>
    </w:p>
    <w:p w14:paraId="1BDAC3C3" w14:textId="43BD0A4F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611547" w:rsidRPr="00611547">
        <w:rPr>
          <w:rFonts w:asciiTheme="minorHAnsi" w:hAnsiTheme="minorHAnsi"/>
          <w:iCs/>
          <w:sz w:val="22"/>
          <w:szCs w:val="22"/>
        </w:rPr>
        <w:t>) endereço completo (logradouro, complemento, bairro, cidade, unidade da federação, CEP), telefone;</w:t>
      </w:r>
    </w:p>
    <w:p w14:paraId="3294C7F6" w14:textId="51FA15F6" w:rsidR="00611547" w:rsidRP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e</w:t>
      </w:r>
      <w:r w:rsidR="00611547" w:rsidRPr="00611547">
        <w:rPr>
          <w:rFonts w:asciiTheme="minorHAnsi" w:hAnsiTheme="minorHAnsi"/>
          <w:iCs/>
          <w:sz w:val="22"/>
          <w:szCs w:val="22"/>
        </w:rPr>
        <w:t>) atividade principal desenvolvida; e</w:t>
      </w:r>
    </w:p>
    <w:p w14:paraId="7258F173" w14:textId="07A8353D" w:rsidR="00611547" w:rsidRDefault="00F67BB2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f</w:t>
      </w:r>
      <w:r w:rsidR="00611547" w:rsidRPr="00611547">
        <w:rPr>
          <w:rFonts w:asciiTheme="minorHAnsi" w:hAnsiTheme="minorHAnsi"/>
          <w:iCs/>
          <w:sz w:val="22"/>
          <w:szCs w:val="22"/>
        </w:rPr>
        <w:t>) nome de controladora(s), controlada(s) ou coligada(s)</w:t>
      </w:r>
      <w:r w:rsidR="00611547">
        <w:rPr>
          <w:rFonts w:asciiTheme="minorHAnsi" w:hAnsiTheme="minorHAnsi"/>
          <w:iCs/>
          <w:sz w:val="22"/>
          <w:szCs w:val="22"/>
        </w:rPr>
        <w:t>; se for o caso</w:t>
      </w:r>
      <w:r w:rsidR="00611547" w:rsidRPr="00611547">
        <w:rPr>
          <w:rFonts w:asciiTheme="minorHAnsi" w:hAnsiTheme="minorHAnsi"/>
          <w:iCs/>
          <w:sz w:val="22"/>
          <w:szCs w:val="22"/>
        </w:rPr>
        <w:t>.</w:t>
      </w:r>
    </w:p>
    <w:p w14:paraId="69E5F0A8" w14:textId="75F4C151" w:rsidR="00E9064A" w:rsidRPr="00E24F70" w:rsidRDefault="00E9064A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</w:p>
    <w:p w14:paraId="248F7E14" w14:textId="77777777" w:rsidR="00933538" w:rsidRPr="00E1051E" w:rsidRDefault="00933538" w:rsidP="00611547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</w:p>
    <w:p w14:paraId="432744DB" w14:textId="5719CCFB" w:rsidR="00AA09CA" w:rsidRPr="00E1051E" w:rsidRDefault="000F3F70" w:rsidP="00E1051E">
      <w:pPr>
        <w:spacing w:after="120" w:line="240" w:lineRule="auto"/>
        <w:jc w:val="center"/>
        <w:rPr>
          <w:b/>
        </w:rPr>
      </w:pPr>
      <w:r w:rsidRPr="00E1051E">
        <w:rPr>
          <w:b/>
        </w:rPr>
        <w:t xml:space="preserve">Seção </w:t>
      </w:r>
      <w:r w:rsidR="00703D65">
        <w:rPr>
          <w:b/>
        </w:rPr>
        <w:t>I</w:t>
      </w:r>
      <w:r w:rsidRPr="00E1051E">
        <w:rPr>
          <w:b/>
        </w:rPr>
        <w:t>V Do Registro das Operações</w:t>
      </w:r>
    </w:p>
    <w:p w14:paraId="54895F2C" w14:textId="5F0A6F70" w:rsidR="000F3F70" w:rsidRPr="00E1051E" w:rsidRDefault="000F3F70" w:rsidP="00E1051E">
      <w:pPr>
        <w:spacing w:after="120" w:line="240" w:lineRule="auto"/>
        <w:jc w:val="both"/>
      </w:pPr>
      <w:r w:rsidRPr="00E1051E">
        <w:rPr>
          <w:b/>
        </w:rPr>
        <w:t>Art</w:t>
      </w:r>
      <w:r w:rsidR="000217E6">
        <w:rPr>
          <w:b/>
        </w:rPr>
        <w:t>.</w:t>
      </w:r>
      <w:r w:rsidRPr="00E1051E">
        <w:rPr>
          <w:b/>
        </w:rPr>
        <w:t xml:space="preserve"> </w:t>
      </w:r>
      <w:r w:rsidR="001B2672">
        <w:rPr>
          <w:b/>
        </w:rPr>
        <w:t>5</w:t>
      </w:r>
      <w:r w:rsidRPr="00E1051E">
        <w:rPr>
          <w:b/>
        </w:rPr>
        <w:t>º</w:t>
      </w:r>
      <w:r w:rsidR="007853D4">
        <w:rPr>
          <w:b/>
        </w:rPr>
        <w:t>.</w:t>
      </w:r>
      <w:r w:rsidRPr="00E1051E">
        <w:rPr>
          <w:b/>
        </w:rPr>
        <w:t xml:space="preserve"> </w:t>
      </w:r>
      <w:r w:rsidR="0002364D" w:rsidRPr="00E1051E">
        <w:t xml:space="preserve">As pessoas </w:t>
      </w:r>
      <w:r w:rsidR="004D6647" w:rsidRPr="00E1051E">
        <w:t xml:space="preserve">de que trata </w:t>
      </w:r>
      <w:r w:rsidR="0002364D" w:rsidRPr="00E1051E">
        <w:t xml:space="preserve">o </w:t>
      </w:r>
      <w:r w:rsidR="008F2416">
        <w:t>A</w:t>
      </w:r>
      <w:r w:rsidR="0002364D" w:rsidRPr="00E1051E">
        <w:t xml:space="preserve">rt. 1º devem manter registro de todas as operações que realizarem no valor igual ou superior </w:t>
      </w:r>
      <w:r w:rsidR="004D6647" w:rsidRPr="00E1051E">
        <w:t>a R$ 10.000,00 (dez mil reais) ou equivalente em outra moeda, do qual devem constar, no mínimo:</w:t>
      </w:r>
    </w:p>
    <w:p w14:paraId="3514FE1E" w14:textId="60EE771D" w:rsidR="004D6647" w:rsidRPr="00E1051E" w:rsidRDefault="00C35CC1" w:rsidP="00E1051E">
      <w:pPr>
        <w:spacing w:after="120" w:line="240" w:lineRule="auto"/>
        <w:jc w:val="both"/>
      </w:pPr>
      <w:r w:rsidRPr="00E1051E">
        <w:t xml:space="preserve">I – </w:t>
      </w:r>
      <w:r w:rsidR="00E13DB5" w:rsidRPr="00E1051E">
        <w:t>nome</w:t>
      </w:r>
      <w:r w:rsidRPr="00E1051E">
        <w:t xml:space="preserve"> do cliente</w:t>
      </w:r>
      <w:r w:rsidR="00E24F70">
        <w:t xml:space="preserve"> e dos demais envolvidos, inclusive beneficiários finais ou terceiros pagantes, nas negociações que realizare</w:t>
      </w:r>
      <w:r w:rsidR="00027B03">
        <w:t>m ou intermediarem;</w:t>
      </w:r>
    </w:p>
    <w:p w14:paraId="0165844B" w14:textId="77777777" w:rsidR="00C35CC1" w:rsidRPr="00E1051E" w:rsidRDefault="00C35CC1" w:rsidP="00E1051E">
      <w:pPr>
        <w:spacing w:after="120" w:line="240" w:lineRule="auto"/>
        <w:jc w:val="both"/>
      </w:pPr>
      <w:r w:rsidRPr="00E1051E">
        <w:t>II – descrição pormenorizada dos bens/mercadorias;</w:t>
      </w:r>
    </w:p>
    <w:p w14:paraId="2E90D7FC" w14:textId="77777777" w:rsidR="00C35CC1" w:rsidRPr="00E1051E" w:rsidRDefault="00C35CC1" w:rsidP="00E1051E">
      <w:pPr>
        <w:spacing w:after="120" w:line="240" w:lineRule="auto"/>
        <w:jc w:val="both"/>
      </w:pPr>
      <w:r w:rsidRPr="00E1051E">
        <w:t>III – valor da operação;</w:t>
      </w:r>
    </w:p>
    <w:p w14:paraId="05BAB4DF" w14:textId="08624E47" w:rsidR="00C35CC1" w:rsidRPr="00E1051E" w:rsidRDefault="00C35CC1" w:rsidP="00E1051E">
      <w:pPr>
        <w:spacing w:after="120" w:line="240" w:lineRule="auto"/>
        <w:jc w:val="both"/>
      </w:pPr>
      <w:r w:rsidRPr="00E1051E">
        <w:t>IV – data da operação;</w:t>
      </w:r>
      <w:r w:rsidR="00A529DC">
        <w:t xml:space="preserve"> </w:t>
      </w:r>
      <w:r w:rsidR="00297397" w:rsidRPr="00E1051E">
        <w:t>e</w:t>
      </w:r>
    </w:p>
    <w:p w14:paraId="66B97137" w14:textId="77777777" w:rsidR="00C35CC1" w:rsidRPr="00E1051E" w:rsidRDefault="00C35CC1" w:rsidP="00E1051E">
      <w:pPr>
        <w:spacing w:after="120" w:line="240" w:lineRule="auto"/>
        <w:jc w:val="both"/>
      </w:pPr>
      <w:r w:rsidRPr="00E1051E">
        <w:t xml:space="preserve">V – forma </w:t>
      </w:r>
      <w:r w:rsidR="00F42DA6">
        <w:t xml:space="preserve">e meio </w:t>
      </w:r>
      <w:r w:rsidRPr="00E1051E">
        <w:t>de pagamento</w:t>
      </w:r>
      <w:r w:rsidR="00297397" w:rsidRPr="00E1051E">
        <w:t>.</w:t>
      </w:r>
    </w:p>
    <w:p w14:paraId="733934E4" w14:textId="77777777" w:rsidR="00297397" w:rsidRPr="00E1051E" w:rsidRDefault="00297397" w:rsidP="00E1051E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E1051E">
        <w:rPr>
          <w:rFonts w:asciiTheme="minorHAnsi" w:hAnsiTheme="minorHAnsi"/>
          <w:b/>
          <w:sz w:val="22"/>
          <w:szCs w:val="22"/>
        </w:rPr>
        <w:t xml:space="preserve">Parágrafo Único. </w:t>
      </w:r>
      <w:r w:rsidRPr="00E1051E">
        <w:rPr>
          <w:rFonts w:asciiTheme="minorHAnsi" w:hAnsiTheme="minorHAnsi"/>
          <w:color w:val="000000"/>
          <w:sz w:val="22"/>
          <w:szCs w:val="22"/>
        </w:rPr>
        <w:t>Deverão igualmente ser registradas as operações que, realizadas por uma mesma pessoa física ou jurídica, conglomerado ou grupo, em um mesmo mês calendário, no mesmo estabelecimento, superem em seu conjunto o limite estabelecido no caput.</w:t>
      </w:r>
    </w:p>
    <w:p w14:paraId="74AEF22E" w14:textId="77777777" w:rsidR="00E1051E" w:rsidRDefault="00E1051E" w:rsidP="00E1051E">
      <w:pPr>
        <w:spacing w:after="120" w:line="240" w:lineRule="auto"/>
        <w:jc w:val="center"/>
        <w:rPr>
          <w:b/>
        </w:rPr>
      </w:pPr>
    </w:p>
    <w:p w14:paraId="768DC984" w14:textId="77777777" w:rsidR="00E1051E" w:rsidRDefault="00E1051E" w:rsidP="00E1051E">
      <w:pPr>
        <w:spacing w:after="120" w:line="240" w:lineRule="auto"/>
        <w:jc w:val="center"/>
        <w:rPr>
          <w:b/>
        </w:rPr>
      </w:pPr>
    </w:p>
    <w:p w14:paraId="3878C211" w14:textId="77777777" w:rsidR="00297397" w:rsidRDefault="00F2495F" w:rsidP="00E1051E">
      <w:pPr>
        <w:spacing w:after="120" w:line="240" w:lineRule="auto"/>
        <w:jc w:val="center"/>
        <w:rPr>
          <w:b/>
        </w:rPr>
      </w:pPr>
      <w:r w:rsidRPr="00E1051E">
        <w:rPr>
          <w:b/>
        </w:rPr>
        <w:t>Seção V – Das Comunicações</w:t>
      </w:r>
    </w:p>
    <w:p w14:paraId="7C9E5544" w14:textId="57B070EE" w:rsidR="00A529DC" w:rsidRPr="00ED6EF4" w:rsidRDefault="00A529DC" w:rsidP="00FA6CB5">
      <w:pPr>
        <w:spacing w:before="120" w:after="240" w:line="240" w:lineRule="auto"/>
        <w:jc w:val="both"/>
      </w:pPr>
      <w:r w:rsidRPr="00E1051E">
        <w:rPr>
          <w:b/>
        </w:rPr>
        <w:t xml:space="preserve">Art. </w:t>
      </w:r>
      <w:r w:rsidR="001B2672">
        <w:rPr>
          <w:b/>
        </w:rPr>
        <w:t>6</w:t>
      </w:r>
      <w:r w:rsidRPr="00E1051E">
        <w:rPr>
          <w:b/>
        </w:rPr>
        <w:t>º.</w:t>
      </w:r>
      <w:r>
        <w:rPr>
          <w:b/>
        </w:rPr>
        <w:t xml:space="preserve"> </w:t>
      </w:r>
      <w:r w:rsidR="001B2672">
        <w:t xml:space="preserve">As pessoas de que trata o </w:t>
      </w:r>
      <w:r w:rsidR="008F2416">
        <w:t>A</w:t>
      </w:r>
      <w:r>
        <w:t xml:space="preserve">rt. 1º são obrigadas a </w:t>
      </w:r>
      <w:r w:rsidRPr="00E1051E">
        <w:t xml:space="preserve">comunicar ao </w:t>
      </w:r>
      <w:r>
        <w:t>COAF</w:t>
      </w:r>
      <w:r w:rsidRPr="00E1051E">
        <w:t>, independentemente de análise ou de qualquer outra consideração</w:t>
      </w:r>
      <w:r>
        <w:t xml:space="preserve">, </w:t>
      </w:r>
      <w:r w:rsidRPr="00E1051E">
        <w:t>q</w:t>
      </w:r>
      <w:r w:rsidRPr="00ED6EF4">
        <w:rPr>
          <w:rFonts w:eastAsia="Times New Roman" w:cs="Arial"/>
          <w:color w:val="000000"/>
          <w:lang w:eastAsia="pt-BR"/>
        </w:rPr>
        <w:t>ualquer operação ou conjunto de operações de um mesmo cliente que envolva o pagamento ou recebimento</w:t>
      </w:r>
      <w:r>
        <w:rPr>
          <w:rFonts w:eastAsia="Times New Roman" w:cs="Arial"/>
          <w:color w:val="000000"/>
          <w:lang w:eastAsia="pt-BR"/>
        </w:rPr>
        <w:t>, em espécie,</w:t>
      </w:r>
      <w:r w:rsidRPr="00ED6EF4">
        <w:rPr>
          <w:rFonts w:eastAsia="Times New Roman" w:cs="Arial"/>
          <w:color w:val="000000"/>
          <w:lang w:eastAsia="pt-BR"/>
        </w:rPr>
        <w:t xml:space="preserve"> d</w:t>
      </w:r>
      <w:r w:rsidR="00933538">
        <w:rPr>
          <w:rFonts w:eastAsia="Times New Roman" w:cs="Arial"/>
          <w:color w:val="000000"/>
          <w:lang w:eastAsia="pt-BR"/>
        </w:rPr>
        <w:t>e valor igual ou superior a R$ 1</w:t>
      </w:r>
      <w:r w:rsidRPr="00ED6EF4">
        <w:rPr>
          <w:rFonts w:eastAsia="Times New Roman" w:cs="Arial"/>
          <w:color w:val="000000"/>
          <w:lang w:eastAsia="pt-BR"/>
        </w:rPr>
        <w:t>0.000,00 (</w:t>
      </w:r>
      <w:r w:rsidR="00933538">
        <w:rPr>
          <w:rFonts w:eastAsia="Times New Roman" w:cs="Arial"/>
          <w:color w:val="000000"/>
          <w:lang w:eastAsia="pt-BR"/>
        </w:rPr>
        <w:t>dez</w:t>
      </w:r>
      <w:r w:rsidRPr="00ED6EF4">
        <w:rPr>
          <w:rFonts w:eastAsia="Times New Roman" w:cs="Arial"/>
          <w:color w:val="000000"/>
          <w:lang w:eastAsia="pt-BR"/>
        </w:rPr>
        <w:t xml:space="preserve"> mil reais)</w:t>
      </w:r>
      <w:r>
        <w:rPr>
          <w:rFonts w:eastAsia="Times New Roman" w:cs="Arial"/>
          <w:color w:val="000000"/>
          <w:lang w:eastAsia="pt-BR"/>
        </w:rPr>
        <w:t xml:space="preserve">, </w:t>
      </w:r>
      <w:r w:rsidRPr="00ED6EF4">
        <w:rPr>
          <w:rFonts w:eastAsia="Times New Roman" w:cs="Arial"/>
          <w:color w:val="000000"/>
          <w:lang w:eastAsia="pt-BR"/>
        </w:rPr>
        <w:t xml:space="preserve">ou </w:t>
      </w:r>
      <w:r>
        <w:rPr>
          <w:rFonts w:eastAsia="Times New Roman" w:cs="Arial"/>
          <w:color w:val="000000"/>
          <w:lang w:eastAsia="pt-BR"/>
        </w:rPr>
        <w:t xml:space="preserve">o </w:t>
      </w:r>
      <w:r w:rsidRPr="00ED6EF4">
        <w:rPr>
          <w:rFonts w:eastAsia="Times New Roman" w:cs="Arial"/>
          <w:color w:val="000000"/>
          <w:lang w:eastAsia="pt-BR"/>
        </w:rPr>
        <w:t>equivalente em outra moeda</w:t>
      </w:r>
      <w:r>
        <w:rPr>
          <w:rFonts w:eastAsia="Times New Roman" w:cs="Arial"/>
          <w:color w:val="000000"/>
          <w:lang w:eastAsia="pt-BR"/>
        </w:rPr>
        <w:t>.</w:t>
      </w:r>
    </w:p>
    <w:p w14:paraId="55B8BF96" w14:textId="65094B0B" w:rsidR="00BE1794" w:rsidRDefault="00BE1794" w:rsidP="00FA6CB5">
      <w:pPr>
        <w:spacing w:before="120" w:after="120" w:line="240" w:lineRule="auto"/>
        <w:jc w:val="both"/>
      </w:pPr>
      <w:r w:rsidRPr="00E1051E">
        <w:rPr>
          <w:b/>
        </w:rPr>
        <w:t xml:space="preserve">Art. </w:t>
      </w:r>
      <w:r w:rsidR="001B2672">
        <w:rPr>
          <w:b/>
        </w:rPr>
        <w:t>7</w:t>
      </w:r>
      <w:r w:rsidRPr="00E1051E">
        <w:rPr>
          <w:b/>
        </w:rPr>
        <w:t>º</w:t>
      </w:r>
      <w:r w:rsidR="007853D4">
        <w:rPr>
          <w:b/>
        </w:rPr>
        <w:t>.</w:t>
      </w:r>
      <w:r w:rsidRPr="00E1051E">
        <w:t xml:space="preserve"> </w:t>
      </w:r>
      <w:r w:rsidR="00031F9F" w:rsidRPr="00E1051E">
        <w:t xml:space="preserve">As operações e propostas de operações que se enquadrem nas situações listadas a seguir podem configurar sérios indícios da ocorrência dos crimes previstos na Lei nº 9.613, de 1998, ou com eles relacionar-se, devendo ser analisadas com especial atenção pelas pessoas de que trata o </w:t>
      </w:r>
      <w:r w:rsidR="00220164">
        <w:t>A</w:t>
      </w:r>
      <w:r w:rsidR="00F128A4" w:rsidRPr="00E1051E">
        <w:t>rt.</w:t>
      </w:r>
      <w:r w:rsidR="00031F9F" w:rsidRPr="00E1051E">
        <w:t xml:space="preserve"> 1º e, se consideradas suspeitas, comunicadas ao COAF:</w:t>
      </w:r>
    </w:p>
    <w:p w14:paraId="6B76217F" w14:textId="3504D3A7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Repetidas operações em valor próximo ao limite mínimo estabelecido para registro</w:t>
      </w:r>
      <w:r w:rsidR="0067070A">
        <w:rPr>
          <w:rFonts w:eastAsia="Times New Roman" w:cs="Arial"/>
          <w:color w:val="000000"/>
          <w:lang w:eastAsia="pt-BR"/>
        </w:rPr>
        <w:t>, conforme estabelecido pelo caput do Art. 5º</w:t>
      </w:r>
      <w:r w:rsidRPr="00E1051E">
        <w:rPr>
          <w:rFonts w:eastAsia="Times New Roman" w:cs="Arial"/>
          <w:color w:val="000000"/>
          <w:lang w:eastAsia="pt-BR"/>
        </w:rPr>
        <w:t>.</w:t>
      </w:r>
    </w:p>
    <w:p w14:paraId="2DF0080A" w14:textId="77777777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Operação em que o proponente não se disponha a cumprir as exigências cadastrais ou tente induzir os responsáveis pelo cadastramento a não manter em arquivo registros que possam reconstituir a operação pactuada.</w:t>
      </w:r>
    </w:p>
    <w:p w14:paraId="6C7127B2" w14:textId="77777777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Operações com pessoas sem tradição no mercado movimentando elevadas quantias na compra e venda de bens objeto desta Portaria.</w:t>
      </w:r>
    </w:p>
    <w:p w14:paraId="4C0CBD1E" w14:textId="77777777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 xml:space="preserve">Operação em que o proponente não aparente possuir condições financeiras para sua concretização </w:t>
      </w:r>
      <w:r w:rsidRPr="00E1051E">
        <w:rPr>
          <w:rFonts w:eastAsia="Times New Roman" w:cs="Arial"/>
          <w:i/>
          <w:color w:val="000000"/>
          <w:lang w:eastAsia="pt-BR"/>
        </w:rPr>
        <w:t>(“laranja”, “testa de ferro”)</w:t>
      </w:r>
      <w:r w:rsidRPr="00E1051E">
        <w:rPr>
          <w:rFonts w:eastAsia="Times New Roman" w:cs="Arial"/>
          <w:color w:val="000000"/>
          <w:lang w:eastAsia="pt-BR"/>
        </w:rPr>
        <w:t>.</w:t>
      </w:r>
    </w:p>
    <w:p w14:paraId="1FBFFFA4" w14:textId="53DD18E4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Operação em que seja proposto pagamento por meio de transferência de recursos entre contas no exterior</w:t>
      </w:r>
      <w:r>
        <w:rPr>
          <w:rFonts w:eastAsia="Times New Roman" w:cs="Arial"/>
          <w:color w:val="000000"/>
          <w:lang w:eastAsia="pt-BR"/>
        </w:rPr>
        <w:t>,</w:t>
      </w:r>
      <w:r w:rsidRPr="00E1051E">
        <w:rPr>
          <w:rFonts w:eastAsia="Times New Roman" w:cs="Arial"/>
          <w:color w:val="000000"/>
          <w:lang w:eastAsia="pt-BR"/>
        </w:rPr>
        <w:t xml:space="preserve"> que</w:t>
      </w:r>
      <w:r>
        <w:rPr>
          <w:rFonts w:eastAsia="Times New Roman" w:cs="Arial"/>
          <w:color w:val="000000"/>
          <w:lang w:eastAsia="pt-BR"/>
        </w:rPr>
        <w:t>r permitindo ou não o rastreamento de dinheiro.</w:t>
      </w:r>
    </w:p>
    <w:p w14:paraId="23BF04F5" w14:textId="77777777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Proposta de superfaturamento ou subfaturamento em transações com os bens objeto desta Portaria.</w:t>
      </w:r>
    </w:p>
    <w:p w14:paraId="722DDE54" w14:textId="6410B300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 xml:space="preserve">Operação ou proposta envolvendo pessoa jurídica cujos beneficiários finais, sócios, acionistas, procuradores ou representantes legais mantenham domicílio em jurisdições </w:t>
      </w:r>
      <w:r w:rsidRPr="00E1051E">
        <w:rPr>
          <w:rFonts w:eastAsia="Times New Roman" w:cs="Arial"/>
          <w:color w:val="000000"/>
          <w:lang w:eastAsia="pt-BR"/>
        </w:rPr>
        <w:lastRenderedPageBreak/>
        <w:t>consideradas pelo Grupo de Ação contra a Lavagem de Dinheiro e o Financiamento do Terrorismo - GAFI de alto risco ou com deficiências estratégicas de prevenção e combate à lavagem de dinheiro e ao financiamento do terrorismo</w:t>
      </w:r>
      <w:r w:rsidR="00A43F00">
        <w:rPr>
          <w:rFonts w:eastAsia="Times New Roman" w:cs="Arial"/>
          <w:color w:val="000000"/>
          <w:lang w:eastAsia="pt-BR"/>
        </w:rPr>
        <w:t xml:space="preserve">, bem como </w:t>
      </w:r>
      <w:r w:rsidRPr="00E1051E">
        <w:rPr>
          <w:rFonts w:eastAsia="Times New Roman" w:cs="Arial"/>
          <w:color w:val="000000"/>
          <w:lang w:eastAsia="pt-BR"/>
        </w:rPr>
        <w:t>países ou dependências consideradas pela Secretaria da Receita Federal do Brasil - RFB de tributação favorecida e/ou regime fiscal privilegiado.</w:t>
      </w:r>
    </w:p>
    <w:p w14:paraId="64B7269D" w14:textId="09DCC3EC" w:rsidR="00031F9F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 xml:space="preserve">Operação de </w:t>
      </w:r>
      <w:r w:rsidR="00E94B19">
        <w:rPr>
          <w:rFonts w:eastAsia="Times New Roman" w:cs="Arial"/>
          <w:color w:val="000000"/>
          <w:lang w:eastAsia="pt-BR"/>
        </w:rPr>
        <w:t xml:space="preserve">compra ou </w:t>
      </w:r>
      <w:r w:rsidRPr="00E1051E">
        <w:rPr>
          <w:rFonts w:eastAsia="Times New Roman" w:cs="Arial"/>
          <w:color w:val="000000"/>
          <w:lang w:eastAsia="pt-BR"/>
        </w:rPr>
        <w:t xml:space="preserve">venda cujo </w:t>
      </w:r>
      <w:r w:rsidR="00E94B19">
        <w:rPr>
          <w:rFonts w:eastAsia="Times New Roman" w:cs="Arial"/>
          <w:color w:val="000000"/>
          <w:lang w:eastAsia="pt-BR"/>
        </w:rPr>
        <w:t xml:space="preserve">vendedor ou comprador </w:t>
      </w:r>
      <w:r w:rsidRPr="00E1051E">
        <w:rPr>
          <w:rFonts w:eastAsia="Times New Roman" w:cs="Arial"/>
          <w:color w:val="000000"/>
          <w:lang w:eastAsia="pt-BR"/>
        </w:rPr>
        <w:t>tenha sido anteriormente dono do mesmo bem</w:t>
      </w:r>
    </w:p>
    <w:p w14:paraId="03AB0B9A" w14:textId="4B5C923D" w:rsidR="00031F9F" w:rsidRPr="00E1051E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 xml:space="preserve">Operação cujo pagamento ou recebimento </w:t>
      </w:r>
      <w:r w:rsidR="002C5707">
        <w:rPr>
          <w:rFonts w:eastAsia="Times New Roman" w:cs="Arial"/>
          <w:color w:val="000000"/>
          <w:lang w:eastAsia="pt-BR"/>
        </w:rPr>
        <w:t xml:space="preserve">se dê </w:t>
      </w:r>
      <w:r w:rsidR="00933538">
        <w:rPr>
          <w:rFonts w:eastAsia="Times New Roman" w:cs="Arial"/>
          <w:color w:val="000000"/>
          <w:lang w:eastAsia="pt-BR"/>
        </w:rPr>
        <w:t xml:space="preserve">em nome de terceiros, </w:t>
      </w:r>
      <w:r w:rsidRPr="00E1051E">
        <w:rPr>
          <w:rFonts w:eastAsia="Times New Roman" w:cs="Arial"/>
          <w:color w:val="000000"/>
          <w:lang w:eastAsia="pt-BR"/>
        </w:rPr>
        <w:t>pessoa física ou jurídica estrangeira em “paraísos fiscais”</w:t>
      </w:r>
      <w:r w:rsidR="00933538">
        <w:rPr>
          <w:rFonts w:eastAsia="Times New Roman" w:cs="Arial"/>
          <w:color w:val="000000"/>
          <w:lang w:eastAsia="pt-BR"/>
        </w:rPr>
        <w:t>, caso isso esteja sendo usado para mascarar a verdadeira identidade do comprador, vendedor ou proprietário dos bens objeto desta Portaria</w:t>
      </w:r>
      <w:r w:rsidRPr="00E1051E">
        <w:rPr>
          <w:rFonts w:eastAsia="Times New Roman" w:cs="Arial"/>
          <w:color w:val="000000"/>
          <w:lang w:eastAsia="pt-BR"/>
        </w:rPr>
        <w:t>.</w:t>
      </w:r>
    </w:p>
    <w:p w14:paraId="53E8BF60" w14:textId="77777777" w:rsidR="00031F9F" w:rsidRDefault="00031F9F" w:rsidP="00031F9F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color w:val="000000"/>
          <w:lang w:eastAsia="pt-BR"/>
        </w:rPr>
        <w:t>Quaisquer operações que, considerando as partes e demais envolvidos, os valores, os modos de realização, o meio e a forma de pagamento, ou a falta de fundamento econômico ou legal, possam configurar sérios indícios da ocorrência dos crimes previstos na Lei nº 9.613, de 1998, ou com eles relacionar-se.</w:t>
      </w:r>
    </w:p>
    <w:p w14:paraId="2302BB11" w14:textId="647620CE" w:rsidR="00031F9F" w:rsidRDefault="00031F9F" w:rsidP="00031F9F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T</w:t>
      </w:r>
      <w:r w:rsidRPr="00E1051E">
        <w:t>odas as operações, propostas ou realizadas, envolvendo as situações descritas na Lei nº 13.260, de 2016 (Lei Antiterrorismo).</w:t>
      </w:r>
    </w:p>
    <w:p w14:paraId="25026A27" w14:textId="77777777" w:rsidR="00A529DC" w:rsidRDefault="00A529DC" w:rsidP="00E1051E">
      <w:pPr>
        <w:spacing w:after="12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p w14:paraId="420AB955" w14:textId="29BA9CB4" w:rsidR="00F54E94" w:rsidRPr="00E1051E" w:rsidRDefault="00585A9C" w:rsidP="00E1051E">
      <w:pPr>
        <w:spacing w:after="120" w:line="240" w:lineRule="auto"/>
        <w:jc w:val="both"/>
      </w:pPr>
      <w:r w:rsidRPr="00585A9C">
        <w:rPr>
          <w:rFonts w:eastAsia="Times New Roman" w:cs="Arial"/>
          <w:b/>
          <w:color w:val="000000"/>
          <w:lang w:eastAsia="pt-BR"/>
        </w:rPr>
        <w:t xml:space="preserve">Art. </w:t>
      </w:r>
      <w:r w:rsidR="001B2672">
        <w:rPr>
          <w:rFonts w:eastAsia="Times New Roman" w:cs="Arial"/>
          <w:b/>
          <w:color w:val="000000"/>
          <w:lang w:eastAsia="pt-BR"/>
        </w:rPr>
        <w:t>8</w:t>
      </w:r>
      <w:r w:rsidRPr="00585A9C">
        <w:rPr>
          <w:rFonts w:eastAsia="Times New Roman" w:cs="Arial"/>
          <w:b/>
          <w:color w:val="000000"/>
          <w:lang w:eastAsia="pt-BR"/>
        </w:rPr>
        <w:t>º</w:t>
      </w:r>
      <w:r w:rsidR="007853D4">
        <w:rPr>
          <w:rFonts w:eastAsia="Times New Roman" w:cs="Arial"/>
          <w:b/>
          <w:color w:val="000000"/>
          <w:lang w:eastAsia="pt-BR"/>
        </w:rPr>
        <w:t>.</w:t>
      </w:r>
      <w:r w:rsidRPr="00585A9C">
        <w:rPr>
          <w:rFonts w:eastAsia="Times New Roman" w:cs="Arial"/>
          <w:color w:val="000000"/>
          <w:lang w:eastAsia="pt-BR"/>
        </w:rPr>
        <w:t xml:space="preserve"> As</w:t>
      </w:r>
      <w:r w:rsidR="003F5C94">
        <w:rPr>
          <w:rFonts w:eastAsia="Times New Roman" w:cs="Arial"/>
          <w:color w:val="000000"/>
          <w:lang w:eastAsia="pt-BR"/>
        </w:rPr>
        <w:t xml:space="preserve"> comunicações de que tratam os </w:t>
      </w:r>
      <w:proofErr w:type="spellStart"/>
      <w:r w:rsidR="003F5C94">
        <w:rPr>
          <w:rFonts w:eastAsia="Times New Roman" w:cs="Arial"/>
          <w:color w:val="000000"/>
          <w:lang w:eastAsia="pt-BR"/>
        </w:rPr>
        <w:t>A</w:t>
      </w:r>
      <w:r w:rsidRPr="00585A9C">
        <w:rPr>
          <w:rFonts w:eastAsia="Times New Roman" w:cs="Arial"/>
          <w:color w:val="000000"/>
          <w:lang w:eastAsia="pt-BR"/>
        </w:rPr>
        <w:t>rts</w:t>
      </w:r>
      <w:proofErr w:type="spellEnd"/>
      <w:r w:rsidRPr="00585A9C">
        <w:rPr>
          <w:rFonts w:eastAsia="Times New Roman" w:cs="Arial"/>
          <w:color w:val="000000"/>
          <w:lang w:eastAsia="pt-BR"/>
        </w:rPr>
        <w:t xml:space="preserve">. </w:t>
      </w:r>
      <w:r w:rsidR="001B2672">
        <w:rPr>
          <w:rFonts w:eastAsia="Times New Roman" w:cs="Arial"/>
          <w:color w:val="000000"/>
          <w:lang w:eastAsia="pt-BR"/>
        </w:rPr>
        <w:t>6</w:t>
      </w:r>
      <w:r w:rsidRPr="00585A9C">
        <w:rPr>
          <w:rFonts w:eastAsia="Times New Roman" w:cs="Arial"/>
          <w:color w:val="000000"/>
          <w:lang w:eastAsia="pt-BR"/>
        </w:rPr>
        <w:t xml:space="preserve">º </w:t>
      </w:r>
      <w:r w:rsidR="00DA5871" w:rsidRPr="00E1051E">
        <w:rPr>
          <w:rFonts w:eastAsia="Times New Roman" w:cs="Arial"/>
          <w:color w:val="000000"/>
          <w:lang w:eastAsia="pt-BR"/>
        </w:rPr>
        <w:t xml:space="preserve">e </w:t>
      </w:r>
      <w:r w:rsidR="001B2672">
        <w:rPr>
          <w:rFonts w:eastAsia="Times New Roman" w:cs="Arial"/>
          <w:color w:val="000000"/>
          <w:lang w:eastAsia="pt-BR"/>
        </w:rPr>
        <w:t>7</w:t>
      </w:r>
      <w:r w:rsidR="00DA5871" w:rsidRPr="00E1051E">
        <w:rPr>
          <w:rFonts w:eastAsia="Times New Roman" w:cs="Arial"/>
          <w:color w:val="000000"/>
          <w:lang w:eastAsia="pt-BR"/>
        </w:rPr>
        <w:t xml:space="preserve">º </w:t>
      </w:r>
      <w:r w:rsidRPr="00585A9C">
        <w:rPr>
          <w:rFonts w:eastAsia="Times New Roman" w:cs="Arial"/>
          <w:color w:val="000000"/>
          <w:lang w:eastAsia="pt-BR"/>
        </w:rPr>
        <w:t>devem ser efetuadas em meio eletrônico no sítio do COAF</w:t>
      </w:r>
      <w:r w:rsidR="00F42DA6">
        <w:rPr>
          <w:rFonts w:eastAsia="Times New Roman" w:cs="Arial"/>
          <w:color w:val="000000"/>
          <w:lang w:eastAsia="pt-BR"/>
        </w:rPr>
        <w:t xml:space="preserve"> (</w:t>
      </w:r>
      <w:hyperlink r:id="rId6" w:history="1">
        <w:r w:rsidR="00F42DA6" w:rsidRPr="00E1051E">
          <w:rPr>
            <w:rStyle w:val="Hyperlink"/>
            <w:rFonts w:eastAsia="Times New Roman" w:cs="Arial"/>
            <w:lang w:eastAsia="pt-BR"/>
          </w:rPr>
          <w:t>www.coaf.fazenda.gov.br</w:t>
        </w:r>
      </w:hyperlink>
      <w:r w:rsidR="00F42DA6">
        <w:t>)</w:t>
      </w:r>
      <w:r w:rsidR="00A50351">
        <w:t xml:space="preserve"> </w:t>
      </w:r>
      <w:r w:rsidR="00315A2E" w:rsidRPr="00E1051E">
        <w:t>no prazo de vinte e quatro (24) horas a contar da verificação da ocorrência</w:t>
      </w:r>
      <w:r w:rsidRPr="00585A9C">
        <w:rPr>
          <w:rFonts w:eastAsia="Times New Roman" w:cs="Arial"/>
          <w:color w:val="000000"/>
          <w:lang w:eastAsia="pt-BR"/>
        </w:rPr>
        <w:t>, de acordo com as instruções ali definidas</w:t>
      </w:r>
      <w:r w:rsidR="00F54E94" w:rsidRPr="00E1051E">
        <w:rPr>
          <w:rFonts w:eastAsia="Times New Roman" w:cs="Arial"/>
          <w:color w:val="000000"/>
          <w:lang w:eastAsia="pt-BR"/>
        </w:rPr>
        <w:t xml:space="preserve">, </w:t>
      </w:r>
      <w:r w:rsidR="00F54E94" w:rsidRPr="00E1051E">
        <w:t>abstendo-se de dar ciência de tal ato a qualquer pessoa, inclusive àquela à qual se refira a informação.</w:t>
      </w:r>
    </w:p>
    <w:p w14:paraId="3074C427" w14:textId="77777777" w:rsidR="00585A9C" w:rsidRPr="00E1051E" w:rsidRDefault="00695834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b/>
          <w:color w:val="000000"/>
          <w:lang w:eastAsia="pt-BR"/>
        </w:rPr>
        <w:t>§ 1º</w:t>
      </w:r>
      <w:r w:rsidR="00585A9C" w:rsidRPr="00585A9C">
        <w:rPr>
          <w:rFonts w:eastAsia="Times New Roman" w:cs="Arial"/>
          <w:b/>
          <w:color w:val="000000"/>
          <w:lang w:eastAsia="pt-BR"/>
        </w:rPr>
        <w:t>.</w:t>
      </w:r>
      <w:r w:rsidR="00585A9C" w:rsidRPr="00585A9C">
        <w:rPr>
          <w:rFonts w:eastAsia="Times New Roman" w:cs="Arial"/>
          <w:color w:val="000000"/>
          <w:lang w:eastAsia="pt-BR"/>
        </w:rPr>
        <w:t xml:space="preserve"> As informações fornecidas ao COAF serão protegidas por sigilo.</w:t>
      </w:r>
    </w:p>
    <w:p w14:paraId="0A95D095" w14:textId="501138EF" w:rsidR="00695834" w:rsidRPr="00C90F22" w:rsidRDefault="00695834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rFonts w:eastAsia="Times New Roman" w:cs="Arial"/>
          <w:b/>
          <w:color w:val="000000"/>
          <w:lang w:eastAsia="pt-BR"/>
        </w:rPr>
        <w:t>§ 2º</w:t>
      </w:r>
      <w:r w:rsidR="007A42FB">
        <w:rPr>
          <w:rFonts w:eastAsia="Times New Roman" w:cs="Arial"/>
          <w:b/>
          <w:color w:val="000000"/>
          <w:lang w:eastAsia="pt-BR"/>
        </w:rPr>
        <w:t xml:space="preserve">. </w:t>
      </w:r>
      <w:r w:rsidRPr="00C90F22">
        <w:rPr>
          <w:rFonts w:eastAsia="Times New Roman" w:cs="Arial"/>
          <w:color w:val="000000"/>
          <w:lang w:eastAsia="pt-BR"/>
        </w:rPr>
        <w:t xml:space="preserve">As comunicações de boa-fé, feitas na forma prevista na Lei nº 9.613, de 1998, </w:t>
      </w:r>
      <w:r w:rsidR="003D5503">
        <w:rPr>
          <w:rFonts w:eastAsia="Times New Roman" w:cs="Arial"/>
          <w:color w:val="000000"/>
          <w:lang w:eastAsia="pt-BR"/>
        </w:rPr>
        <w:t xml:space="preserve">e da presente Portaria </w:t>
      </w:r>
      <w:r w:rsidRPr="00C90F22">
        <w:rPr>
          <w:rFonts w:eastAsia="Times New Roman" w:cs="Arial"/>
          <w:color w:val="000000"/>
          <w:lang w:eastAsia="pt-BR"/>
        </w:rPr>
        <w:t>não acarretarão responsabilidade civil ou administrativa.</w:t>
      </w:r>
    </w:p>
    <w:p w14:paraId="306F9163" w14:textId="77777777" w:rsidR="00695834" w:rsidRPr="00E1051E" w:rsidRDefault="00695834" w:rsidP="00E1051E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32951B7" w14:textId="21BD132A" w:rsidR="00695834" w:rsidRPr="00E1051E" w:rsidRDefault="00695834" w:rsidP="00E1051E">
      <w:pPr>
        <w:pStyle w:val="western"/>
        <w:shd w:val="clear" w:color="auto" w:fill="FFFFFF"/>
        <w:spacing w:before="0" w:beforeAutospacing="0" w:after="12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E1051E">
        <w:rPr>
          <w:rFonts w:asciiTheme="minorHAnsi" w:hAnsiTheme="minorHAnsi"/>
          <w:b/>
          <w:bCs/>
          <w:iCs/>
          <w:sz w:val="22"/>
          <w:szCs w:val="22"/>
        </w:rPr>
        <w:t>Art</w:t>
      </w:r>
      <w:r w:rsidR="00623FA7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E1051E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B2672">
        <w:rPr>
          <w:rFonts w:asciiTheme="minorHAnsi" w:hAnsiTheme="minorHAnsi"/>
          <w:b/>
          <w:bCs/>
          <w:iCs/>
          <w:sz w:val="22"/>
          <w:szCs w:val="22"/>
        </w:rPr>
        <w:t>9</w:t>
      </w:r>
      <w:r w:rsidRPr="00E1051E">
        <w:rPr>
          <w:rFonts w:asciiTheme="minorHAnsi" w:hAnsiTheme="minorHAnsi"/>
          <w:b/>
          <w:bCs/>
          <w:iCs/>
          <w:sz w:val="22"/>
          <w:szCs w:val="22"/>
        </w:rPr>
        <w:t>º.</w:t>
      </w:r>
      <w:r w:rsidR="00B8334E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>Caso não sejam identificadas, durante o ano civil, operações ou</w:t>
      </w:r>
      <w:r w:rsidR="00220164">
        <w:rPr>
          <w:rFonts w:asciiTheme="minorHAnsi" w:hAnsiTheme="minorHAnsi"/>
          <w:bCs/>
          <w:iCs/>
          <w:sz w:val="22"/>
          <w:szCs w:val="22"/>
        </w:rPr>
        <w:t xml:space="preserve"> propostas a que se referem os A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 xml:space="preserve">rtigos </w:t>
      </w:r>
      <w:r w:rsidR="007853D4">
        <w:rPr>
          <w:rFonts w:asciiTheme="minorHAnsi" w:hAnsiTheme="minorHAnsi"/>
          <w:bCs/>
          <w:iCs/>
          <w:sz w:val="22"/>
          <w:szCs w:val="22"/>
        </w:rPr>
        <w:t>6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 xml:space="preserve">º e </w:t>
      </w:r>
      <w:r w:rsidR="007853D4">
        <w:rPr>
          <w:rFonts w:asciiTheme="minorHAnsi" w:hAnsiTheme="minorHAnsi"/>
          <w:bCs/>
          <w:iCs/>
          <w:sz w:val="22"/>
          <w:szCs w:val="22"/>
        </w:rPr>
        <w:t>7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 xml:space="preserve">º, as pessoas de que trata </w:t>
      </w:r>
      <w:r w:rsidR="00220164">
        <w:rPr>
          <w:rFonts w:asciiTheme="minorHAnsi" w:hAnsiTheme="minorHAnsi"/>
          <w:bCs/>
          <w:iCs/>
          <w:sz w:val="22"/>
          <w:szCs w:val="22"/>
        </w:rPr>
        <w:t>o A</w:t>
      </w:r>
      <w:r w:rsidRPr="00016F39">
        <w:rPr>
          <w:rFonts w:asciiTheme="minorHAnsi" w:hAnsiTheme="minorHAnsi"/>
          <w:bCs/>
          <w:iCs/>
          <w:sz w:val="22"/>
          <w:szCs w:val="22"/>
        </w:rPr>
        <w:t>rt</w:t>
      </w:r>
      <w:r w:rsidR="007B46D6">
        <w:rPr>
          <w:rFonts w:asciiTheme="minorHAnsi" w:hAnsiTheme="minorHAnsi"/>
          <w:bCs/>
          <w:iCs/>
          <w:sz w:val="22"/>
          <w:szCs w:val="22"/>
        </w:rPr>
        <w:t>.</w:t>
      </w:r>
      <w:r w:rsidRPr="00016F39">
        <w:rPr>
          <w:rFonts w:asciiTheme="minorHAnsi" w:hAnsiTheme="minorHAnsi"/>
          <w:bCs/>
          <w:iCs/>
          <w:sz w:val="22"/>
          <w:szCs w:val="22"/>
        </w:rPr>
        <w:t xml:space="preserve"> 1º devem 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 xml:space="preserve">declarar tal fato </w:t>
      </w:r>
      <w:r w:rsidRPr="00016F39">
        <w:rPr>
          <w:rFonts w:asciiTheme="minorHAnsi" w:hAnsiTheme="minorHAnsi"/>
          <w:bCs/>
          <w:iCs/>
          <w:sz w:val="22"/>
          <w:szCs w:val="22"/>
        </w:rPr>
        <w:t>apresenta</w:t>
      </w:r>
      <w:r w:rsidR="00016F39" w:rsidRPr="00016F39">
        <w:rPr>
          <w:rFonts w:asciiTheme="minorHAnsi" w:hAnsiTheme="minorHAnsi"/>
          <w:bCs/>
          <w:iCs/>
          <w:sz w:val="22"/>
          <w:szCs w:val="22"/>
        </w:rPr>
        <w:t>ndo</w:t>
      </w:r>
      <w:r w:rsidRPr="00016F39">
        <w:rPr>
          <w:rFonts w:asciiTheme="minorHAnsi" w:hAnsiTheme="minorHAnsi"/>
          <w:bCs/>
          <w:iCs/>
          <w:sz w:val="22"/>
          <w:szCs w:val="22"/>
        </w:rPr>
        <w:t xml:space="preserve"> comunicação de não-ocorrência ao Iphan</w:t>
      </w:r>
      <w:r w:rsidRPr="00E1051E">
        <w:rPr>
          <w:rFonts w:asciiTheme="minorHAnsi" w:hAnsiTheme="minorHAnsi"/>
          <w:bCs/>
          <w:iCs/>
          <w:sz w:val="22"/>
          <w:szCs w:val="22"/>
        </w:rPr>
        <w:t>.</w:t>
      </w:r>
    </w:p>
    <w:p w14:paraId="2330AFA6" w14:textId="680C0A99" w:rsidR="00C90F22" w:rsidRPr="00E1051E" w:rsidRDefault="00695834" w:rsidP="00E1051E">
      <w:pPr>
        <w:spacing w:after="120" w:line="240" w:lineRule="auto"/>
        <w:jc w:val="both"/>
      </w:pPr>
      <w:r w:rsidRPr="00E1051E">
        <w:rPr>
          <w:b/>
          <w:iCs/>
        </w:rPr>
        <w:t>Parágrafo único.</w:t>
      </w:r>
      <w:r w:rsidRPr="00E1051E">
        <w:rPr>
          <w:iCs/>
        </w:rPr>
        <w:t xml:space="preserve"> A comunicação de não-ocorrência deve ser </w:t>
      </w:r>
      <w:r w:rsidR="007A42FB">
        <w:rPr>
          <w:iCs/>
        </w:rPr>
        <w:t>conforme orientações constantes no</w:t>
      </w:r>
      <w:r w:rsidRPr="00E1051E">
        <w:rPr>
          <w:iCs/>
        </w:rPr>
        <w:t xml:space="preserve"> Cadastro Nacional de Negociantes de Obras de Arte</w:t>
      </w:r>
      <w:r w:rsidR="000547BA">
        <w:rPr>
          <w:iCs/>
        </w:rPr>
        <w:t xml:space="preserve"> e</w:t>
      </w:r>
      <w:r w:rsidRPr="00E1051E">
        <w:rPr>
          <w:iCs/>
        </w:rPr>
        <w:t xml:space="preserve"> Antiguidades – CNART do Instituto do Patrimônio Histórico Nacional – IPHAN no sítio do IPHAN, no endereço </w:t>
      </w:r>
      <w:hyperlink r:id="rId7" w:history="1">
        <w:r w:rsidRPr="00E1051E">
          <w:rPr>
            <w:rStyle w:val="Hyperlink"/>
            <w:iCs/>
          </w:rPr>
          <w:t>www.iphan.gov.br</w:t>
        </w:r>
      </w:hyperlink>
      <w:r w:rsidRPr="00E1051E">
        <w:rPr>
          <w:iCs/>
        </w:rPr>
        <w:t xml:space="preserve">, </w:t>
      </w:r>
      <w:r w:rsidRPr="00E1051E">
        <w:t>para fins do disposto na Lei nº 9.613, de 1998</w:t>
      </w:r>
      <w:r w:rsidRPr="00E1051E">
        <w:rPr>
          <w:iCs/>
        </w:rPr>
        <w:t>.</w:t>
      </w:r>
    </w:p>
    <w:p w14:paraId="1DCF48CD" w14:textId="77777777" w:rsidR="00C90F22" w:rsidRPr="00E1051E" w:rsidRDefault="00C90F22" w:rsidP="00E1051E">
      <w:pPr>
        <w:spacing w:after="120" w:line="240" w:lineRule="auto"/>
        <w:jc w:val="both"/>
      </w:pPr>
    </w:p>
    <w:p w14:paraId="34289D9D" w14:textId="77777777" w:rsidR="00C90F22" w:rsidRPr="00E1051E" w:rsidRDefault="00C90F22" w:rsidP="00E1051E">
      <w:pPr>
        <w:spacing w:after="120" w:line="240" w:lineRule="auto"/>
      </w:pPr>
    </w:p>
    <w:p w14:paraId="71B3798F" w14:textId="0C218879" w:rsidR="00C90F22" w:rsidRPr="00C90F22" w:rsidRDefault="00C90F22" w:rsidP="00E1051E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Arial"/>
          <w:color w:val="000000"/>
          <w:lang w:eastAsia="pt-BR"/>
        </w:rPr>
      </w:pPr>
      <w:r w:rsidRPr="00C90F22">
        <w:rPr>
          <w:rFonts w:eastAsia="Times New Roman" w:cs="Arial"/>
          <w:b/>
          <w:bCs/>
          <w:color w:val="000000"/>
          <w:lang w:eastAsia="pt-BR"/>
        </w:rPr>
        <w:t>Seção V</w:t>
      </w:r>
      <w:r w:rsidR="001D6D23" w:rsidRPr="00E1051E">
        <w:rPr>
          <w:rFonts w:eastAsia="Times New Roman" w:cs="Arial"/>
          <w:b/>
          <w:bCs/>
          <w:color w:val="000000"/>
          <w:lang w:eastAsia="pt-BR"/>
        </w:rPr>
        <w:t>I</w:t>
      </w:r>
      <w:r w:rsidR="004B4F05">
        <w:rPr>
          <w:rFonts w:eastAsia="Times New Roman" w:cs="Arial"/>
          <w:b/>
          <w:bCs/>
          <w:color w:val="000000"/>
          <w:lang w:eastAsia="pt-BR"/>
        </w:rPr>
        <w:t xml:space="preserve"> – </w:t>
      </w:r>
      <w:r w:rsidRPr="00C90F22">
        <w:rPr>
          <w:rFonts w:eastAsia="Times New Roman" w:cs="Arial"/>
          <w:b/>
          <w:bCs/>
          <w:color w:val="000000"/>
          <w:lang w:eastAsia="pt-BR"/>
        </w:rPr>
        <w:t>Da Guarda e Conservação de Registros e Documentos</w:t>
      </w:r>
    </w:p>
    <w:p w14:paraId="0D4B6182" w14:textId="6D94F085" w:rsidR="00C90F22" w:rsidRPr="00E1051E" w:rsidRDefault="00C90F22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C90F22">
        <w:rPr>
          <w:rFonts w:eastAsia="Times New Roman" w:cs="Arial"/>
          <w:b/>
          <w:color w:val="000000"/>
          <w:lang w:eastAsia="pt-BR"/>
        </w:rPr>
        <w:t>Art.</w:t>
      </w:r>
      <w:r w:rsidR="007853D4">
        <w:rPr>
          <w:rFonts w:eastAsia="Times New Roman" w:cs="Arial"/>
          <w:b/>
          <w:color w:val="000000"/>
          <w:lang w:eastAsia="pt-BR"/>
        </w:rPr>
        <w:t xml:space="preserve"> </w:t>
      </w:r>
      <w:r w:rsidR="001B2672">
        <w:rPr>
          <w:rFonts w:eastAsia="Times New Roman" w:cs="Arial"/>
          <w:b/>
          <w:color w:val="000000"/>
          <w:lang w:eastAsia="pt-BR"/>
        </w:rPr>
        <w:t>10</w:t>
      </w:r>
      <w:r w:rsidR="00623FA7">
        <w:rPr>
          <w:rFonts w:eastAsia="Times New Roman" w:cs="Arial"/>
          <w:b/>
          <w:color w:val="000000"/>
          <w:lang w:eastAsia="pt-BR"/>
        </w:rPr>
        <w:t>.</w:t>
      </w:r>
      <w:r w:rsidRPr="00C90F22">
        <w:rPr>
          <w:rFonts w:eastAsia="Times New Roman" w:cs="Arial"/>
          <w:color w:val="000000"/>
          <w:lang w:eastAsia="pt-BR"/>
        </w:rPr>
        <w:t xml:space="preserve"> As pessoas de que trata o </w:t>
      </w:r>
      <w:r w:rsidR="00220164">
        <w:rPr>
          <w:rFonts w:eastAsia="Times New Roman" w:cs="Arial"/>
          <w:color w:val="000000"/>
          <w:lang w:eastAsia="pt-BR"/>
        </w:rPr>
        <w:t>A</w:t>
      </w:r>
      <w:r w:rsidRPr="00C90F22">
        <w:rPr>
          <w:rFonts w:eastAsia="Times New Roman" w:cs="Arial"/>
          <w:color w:val="000000"/>
          <w:lang w:eastAsia="pt-BR"/>
        </w:rPr>
        <w:t>rt. 1º devem conservar o cadastro</w:t>
      </w:r>
      <w:r w:rsidR="000D46E4" w:rsidRPr="00E1051E">
        <w:rPr>
          <w:rFonts w:eastAsia="Times New Roman" w:cs="Arial"/>
          <w:color w:val="000000"/>
          <w:lang w:eastAsia="pt-BR"/>
        </w:rPr>
        <w:t xml:space="preserve"> dos clientes</w:t>
      </w:r>
      <w:r w:rsidR="007059DF">
        <w:rPr>
          <w:rFonts w:eastAsia="Times New Roman" w:cs="Arial"/>
          <w:color w:val="000000"/>
          <w:lang w:eastAsia="pt-BR"/>
        </w:rPr>
        <w:t xml:space="preserve"> e de todos os envolvidos na negociação</w:t>
      </w:r>
      <w:r w:rsidR="000D46E4" w:rsidRPr="00E1051E">
        <w:rPr>
          <w:rFonts w:eastAsia="Times New Roman" w:cs="Arial"/>
          <w:color w:val="000000"/>
          <w:lang w:eastAsia="pt-BR"/>
        </w:rPr>
        <w:t xml:space="preserve">, o registro das operações e o histórico das comunicações </w:t>
      </w:r>
      <w:r w:rsidR="006A1D76">
        <w:rPr>
          <w:rFonts w:eastAsia="Times New Roman" w:cs="Arial"/>
          <w:color w:val="000000"/>
          <w:lang w:eastAsia="pt-BR"/>
        </w:rPr>
        <w:t xml:space="preserve">feitas ao Coaf ou ao Iphan, conforme o caso, </w:t>
      </w:r>
      <w:r w:rsidRPr="00C90F22">
        <w:rPr>
          <w:rFonts w:eastAsia="Times New Roman" w:cs="Arial"/>
          <w:color w:val="000000"/>
          <w:lang w:eastAsia="pt-BR"/>
        </w:rPr>
        <w:t>por no mínimo 5 (cinco) anos contados</w:t>
      </w:r>
      <w:r w:rsidR="00A50351">
        <w:rPr>
          <w:rFonts w:eastAsia="Times New Roman" w:cs="Arial"/>
          <w:color w:val="000000"/>
          <w:lang w:eastAsia="pt-BR"/>
        </w:rPr>
        <w:t xml:space="preserve"> </w:t>
      </w:r>
      <w:r w:rsidRPr="00C90F22">
        <w:rPr>
          <w:rFonts w:eastAsia="Times New Roman" w:cs="Arial"/>
          <w:color w:val="000000"/>
          <w:lang w:eastAsia="pt-BR"/>
        </w:rPr>
        <w:t>da conclusão da operação.</w:t>
      </w:r>
    </w:p>
    <w:p w14:paraId="1FE863C3" w14:textId="77777777" w:rsidR="000D46E4" w:rsidRPr="00E1051E" w:rsidRDefault="000D46E4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14:paraId="3147F7C6" w14:textId="77777777" w:rsidR="00695834" w:rsidRPr="00C90F22" w:rsidRDefault="00695834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14:paraId="619EC09F" w14:textId="4DB58DC5" w:rsidR="00C90F22" w:rsidRPr="00C90F22" w:rsidRDefault="00C90F22" w:rsidP="00E1051E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Arial"/>
          <w:color w:val="000000"/>
          <w:lang w:eastAsia="pt-BR"/>
        </w:rPr>
      </w:pPr>
      <w:r w:rsidRPr="00C90F22">
        <w:rPr>
          <w:rFonts w:eastAsia="Times New Roman" w:cs="Arial"/>
          <w:b/>
          <w:bCs/>
          <w:color w:val="000000"/>
          <w:lang w:eastAsia="pt-BR"/>
        </w:rPr>
        <w:t>Seção VI</w:t>
      </w:r>
      <w:r w:rsidR="001D6D23" w:rsidRPr="00E1051E">
        <w:rPr>
          <w:rFonts w:eastAsia="Times New Roman" w:cs="Arial"/>
          <w:b/>
          <w:bCs/>
          <w:color w:val="000000"/>
          <w:lang w:eastAsia="pt-BR"/>
        </w:rPr>
        <w:t>I</w:t>
      </w:r>
      <w:r w:rsidR="004B4F05">
        <w:rPr>
          <w:rFonts w:eastAsia="Times New Roman" w:cs="Arial"/>
          <w:b/>
          <w:bCs/>
          <w:color w:val="000000"/>
          <w:lang w:eastAsia="pt-BR"/>
        </w:rPr>
        <w:t xml:space="preserve"> – </w:t>
      </w:r>
      <w:r w:rsidRPr="00C90F22">
        <w:rPr>
          <w:rFonts w:eastAsia="Times New Roman" w:cs="Arial"/>
          <w:b/>
          <w:bCs/>
          <w:color w:val="000000"/>
          <w:lang w:eastAsia="pt-BR"/>
        </w:rPr>
        <w:t>Das Disposições Finais</w:t>
      </w:r>
    </w:p>
    <w:p w14:paraId="22507B8A" w14:textId="161AA37A" w:rsidR="005F24DF" w:rsidRPr="00E1051E" w:rsidRDefault="005F24DF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b/>
          <w:color w:val="000000"/>
        </w:rPr>
        <w:t>Art. 1</w:t>
      </w:r>
      <w:r w:rsidR="001B2672">
        <w:rPr>
          <w:b/>
          <w:color w:val="000000"/>
        </w:rPr>
        <w:t>1</w:t>
      </w:r>
      <w:r w:rsidRPr="00E1051E">
        <w:rPr>
          <w:b/>
          <w:color w:val="000000"/>
        </w:rPr>
        <w:t>.</w:t>
      </w:r>
      <w:r w:rsidRPr="00E1051E">
        <w:rPr>
          <w:color w:val="000000"/>
        </w:rPr>
        <w:t xml:space="preserve"> As pessoas de que trata o </w:t>
      </w:r>
      <w:r w:rsidR="00220164">
        <w:rPr>
          <w:color w:val="000000"/>
        </w:rPr>
        <w:t>A</w:t>
      </w:r>
      <w:r w:rsidRPr="00E1051E">
        <w:rPr>
          <w:color w:val="000000"/>
        </w:rPr>
        <w:t>rt. 1º deverão atender, a qualquer tempo, a requisições de informação formuladas pelo IPHAN ou pelo Coaf, a respeito de seus clientes e transações.</w:t>
      </w:r>
    </w:p>
    <w:p w14:paraId="2AC974CC" w14:textId="57E5E0F5" w:rsidR="00312830" w:rsidRDefault="0095554F" w:rsidP="00E1051E">
      <w:pPr>
        <w:shd w:val="clear" w:color="auto" w:fill="FFFFFF"/>
        <w:spacing w:after="120" w:line="240" w:lineRule="auto"/>
        <w:jc w:val="both"/>
        <w:textAlignment w:val="baseline"/>
      </w:pPr>
      <w:r w:rsidRPr="00E1051E">
        <w:rPr>
          <w:b/>
          <w:color w:val="000000"/>
        </w:rPr>
        <w:lastRenderedPageBreak/>
        <w:t>Art. 1</w:t>
      </w:r>
      <w:r w:rsidR="001B2672">
        <w:rPr>
          <w:b/>
          <w:color w:val="000000"/>
        </w:rPr>
        <w:t>2</w:t>
      </w:r>
      <w:r w:rsidRPr="00E1051E">
        <w:rPr>
          <w:b/>
          <w:color w:val="000000"/>
        </w:rPr>
        <w:t>.</w:t>
      </w:r>
      <w:r w:rsidRPr="00E1051E">
        <w:rPr>
          <w:color w:val="000000"/>
        </w:rPr>
        <w:t xml:space="preserve"> Às pessoas de que trata o </w:t>
      </w:r>
      <w:r w:rsidR="00220164">
        <w:rPr>
          <w:color w:val="000000"/>
        </w:rPr>
        <w:t>A</w:t>
      </w:r>
      <w:r w:rsidRPr="00E1051E">
        <w:rPr>
          <w:color w:val="000000"/>
        </w:rPr>
        <w:t xml:space="preserve">rt. 1º, bem como aos seus administradores, que deixarem de cumprir as obrigações desta Portaria, serão aplicadas, cumulativamente ou não, pelo IPHAN, as sanções previstas no </w:t>
      </w:r>
      <w:r w:rsidR="00220164">
        <w:rPr>
          <w:color w:val="000000"/>
        </w:rPr>
        <w:t>A</w:t>
      </w:r>
      <w:r w:rsidRPr="00E1051E">
        <w:rPr>
          <w:color w:val="000000"/>
        </w:rPr>
        <w:t>rt. 12 da Lei nº 9.613, de 1998</w:t>
      </w:r>
      <w:r w:rsidR="00312830">
        <w:rPr>
          <w:color w:val="000000"/>
        </w:rPr>
        <w:t xml:space="preserve">; e na </w:t>
      </w:r>
      <w:r w:rsidR="00263261">
        <w:t xml:space="preserve">Lei </w:t>
      </w:r>
      <w:r w:rsidR="00312830">
        <w:t xml:space="preserve">nº </w:t>
      </w:r>
      <w:r w:rsidR="00263261">
        <w:t xml:space="preserve">9784 </w:t>
      </w:r>
      <w:r w:rsidR="00312830">
        <w:t>de 29 de janeiro 1999.</w:t>
      </w:r>
    </w:p>
    <w:p w14:paraId="0EF43C74" w14:textId="491152F5" w:rsidR="005F24DF" w:rsidRPr="00C90F22" w:rsidRDefault="005F24DF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E1051E">
        <w:rPr>
          <w:b/>
        </w:rPr>
        <w:t>Art. 1</w:t>
      </w:r>
      <w:r w:rsidR="001B2672">
        <w:rPr>
          <w:b/>
        </w:rPr>
        <w:t>3</w:t>
      </w:r>
      <w:r w:rsidR="00312830">
        <w:rPr>
          <w:b/>
        </w:rPr>
        <w:t>.</w:t>
      </w:r>
      <w:r w:rsidRPr="00E1051E">
        <w:t xml:space="preserve"> Cabe às pessoas mencionadas no </w:t>
      </w:r>
      <w:r w:rsidR="00220164">
        <w:t>A</w:t>
      </w:r>
      <w:r w:rsidR="00C06124" w:rsidRPr="00E1051E">
        <w:t>rt.</w:t>
      </w:r>
      <w:r w:rsidRPr="00E1051E">
        <w:t xml:space="preserve"> 1</w:t>
      </w:r>
      <w:r w:rsidRPr="00E1051E">
        <w:rPr>
          <w:bCs/>
          <w:iCs/>
        </w:rPr>
        <w:t>º</w:t>
      </w:r>
      <w:r w:rsidRPr="00E1051E">
        <w:t xml:space="preserve"> acompanhar, no sítio do Iphan, na "internet", a divulgação de informações adicionais, bem como as relativas às regras do CNART, visando ao </w:t>
      </w:r>
      <w:r w:rsidR="000575B3" w:rsidRPr="00E1051E">
        <w:t xml:space="preserve">estabelecimento </w:t>
      </w:r>
      <w:r w:rsidR="000575B3">
        <w:t xml:space="preserve">e </w:t>
      </w:r>
      <w:r w:rsidRPr="00E1051E">
        <w:t xml:space="preserve">aprimoramento de </w:t>
      </w:r>
      <w:r w:rsidR="000575B3" w:rsidRPr="000217E6">
        <w:t>procedimentos</w:t>
      </w:r>
      <w:r w:rsidR="000575B3" w:rsidRPr="00E1051E">
        <w:t xml:space="preserve"> </w:t>
      </w:r>
      <w:r w:rsidR="000575B3">
        <w:t xml:space="preserve">de </w:t>
      </w:r>
      <w:r w:rsidRPr="00E1051E">
        <w:t>controles e, em especial, o estabelecimento da política</w:t>
      </w:r>
      <w:r w:rsidR="000575B3">
        <w:t xml:space="preserve"> para a</w:t>
      </w:r>
      <w:r w:rsidRPr="00E1051E">
        <w:t xml:space="preserve"> prevenção de lavagem de dinheiro</w:t>
      </w:r>
      <w:r w:rsidR="0093069E">
        <w:t xml:space="preserve"> e financiamento do terrorismo.</w:t>
      </w:r>
    </w:p>
    <w:p w14:paraId="4ABFF552" w14:textId="23FCC274" w:rsidR="00C90F22" w:rsidRPr="00C90F22" w:rsidRDefault="00C90F22" w:rsidP="00E1051E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  <w:r w:rsidRPr="00C90F22">
        <w:rPr>
          <w:rFonts w:eastAsia="Times New Roman" w:cs="Arial"/>
          <w:b/>
          <w:color w:val="000000"/>
          <w:lang w:eastAsia="pt-BR"/>
        </w:rPr>
        <w:t>Art. 1</w:t>
      </w:r>
      <w:r w:rsidR="001B2672">
        <w:rPr>
          <w:rFonts w:eastAsia="Times New Roman" w:cs="Arial"/>
          <w:b/>
          <w:color w:val="000000"/>
          <w:lang w:eastAsia="pt-BR"/>
        </w:rPr>
        <w:t>4</w:t>
      </w:r>
      <w:r w:rsidRPr="00C90F22">
        <w:rPr>
          <w:rFonts w:eastAsia="Times New Roman" w:cs="Arial"/>
          <w:color w:val="000000"/>
          <w:lang w:eastAsia="pt-BR"/>
        </w:rPr>
        <w:t>. Esta Resolução entra em vigor</w:t>
      </w:r>
      <w:r w:rsidR="00C26C6D">
        <w:rPr>
          <w:rFonts w:eastAsia="Times New Roman" w:cs="Arial"/>
          <w:color w:val="000000"/>
          <w:lang w:eastAsia="pt-BR"/>
        </w:rPr>
        <w:t xml:space="preserve">em </w:t>
      </w:r>
      <w:r w:rsidR="00C26C6D" w:rsidRPr="00C26C6D">
        <w:rPr>
          <w:rFonts w:eastAsia="Times New Roman" w:cs="Arial"/>
          <w:color w:val="FF0000"/>
          <w:lang w:eastAsia="pt-BR"/>
        </w:rPr>
        <w:t>xx</w:t>
      </w:r>
      <w:r w:rsidR="00C26C6D">
        <w:rPr>
          <w:rFonts w:eastAsia="Times New Roman" w:cs="Arial"/>
          <w:color w:val="000000"/>
          <w:lang w:eastAsia="pt-BR"/>
        </w:rPr>
        <w:t>.</w:t>
      </w:r>
      <w:r w:rsidR="00C26C6D" w:rsidRPr="00C26C6D">
        <w:rPr>
          <w:rFonts w:eastAsia="Times New Roman" w:cs="Arial"/>
          <w:color w:val="FF0000"/>
          <w:lang w:eastAsia="pt-BR"/>
        </w:rPr>
        <w:t>xx</w:t>
      </w:r>
      <w:r w:rsidR="00C26C6D">
        <w:rPr>
          <w:rFonts w:eastAsia="Times New Roman" w:cs="Arial"/>
          <w:color w:val="000000"/>
          <w:lang w:eastAsia="pt-BR"/>
        </w:rPr>
        <w:t>.2016</w:t>
      </w:r>
      <w:r w:rsidRPr="00C90F22">
        <w:rPr>
          <w:rFonts w:eastAsia="Times New Roman" w:cs="Arial"/>
          <w:color w:val="000000"/>
          <w:lang w:eastAsia="pt-BR"/>
        </w:rPr>
        <w:t>.</w:t>
      </w:r>
    </w:p>
    <w:p w14:paraId="41333A0F" w14:textId="77777777" w:rsidR="00E1051E" w:rsidRPr="00E1051E" w:rsidRDefault="00E1051E" w:rsidP="00E1051E">
      <w:pPr>
        <w:spacing w:after="120" w:line="240" w:lineRule="auto"/>
        <w:jc w:val="both"/>
      </w:pPr>
    </w:p>
    <w:p w14:paraId="20D3B669" w14:textId="1B7E483D" w:rsidR="00B07365" w:rsidRPr="000217E6" w:rsidRDefault="00B07365" w:rsidP="00E1051E">
      <w:pPr>
        <w:spacing w:after="120" w:line="240" w:lineRule="auto"/>
        <w:jc w:val="both"/>
        <w:rPr>
          <w:smallCaps/>
        </w:rPr>
      </w:pPr>
      <w:r w:rsidRPr="000217E6">
        <w:rPr>
          <w:smallCaps/>
        </w:rPr>
        <w:t>K</w:t>
      </w:r>
      <w:r w:rsidR="000217E6">
        <w:rPr>
          <w:smallCaps/>
        </w:rPr>
        <w:t>á</w:t>
      </w:r>
      <w:r w:rsidRPr="000217E6">
        <w:rPr>
          <w:smallCaps/>
        </w:rPr>
        <w:t xml:space="preserve">tia Santos </w:t>
      </w:r>
      <w:proofErr w:type="spellStart"/>
      <w:r w:rsidRPr="000217E6">
        <w:rPr>
          <w:smallCaps/>
        </w:rPr>
        <w:t>Bog</w:t>
      </w:r>
      <w:r w:rsidR="00220164">
        <w:rPr>
          <w:smallCaps/>
        </w:rPr>
        <w:t>é</w:t>
      </w:r>
      <w:r w:rsidRPr="000217E6">
        <w:rPr>
          <w:smallCaps/>
        </w:rPr>
        <w:t>a</w:t>
      </w:r>
      <w:proofErr w:type="spellEnd"/>
    </w:p>
    <w:p w14:paraId="74D07903" w14:textId="3CC26B41" w:rsidR="00E1051E" w:rsidRPr="00E1051E" w:rsidRDefault="00F128A4" w:rsidP="00E1051E">
      <w:pPr>
        <w:spacing w:after="120" w:line="240" w:lineRule="auto"/>
        <w:jc w:val="both"/>
      </w:pPr>
      <w:r>
        <w:t>Presidente</w:t>
      </w:r>
    </w:p>
    <w:sectPr w:rsidR="00E1051E" w:rsidRPr="00E1051E" w:rsidSect="003C0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84AB4"/>
    <w:multiLevelType w:val="hybridMultilevel"/>
    <w:tmpl w:val="BAAE397E"/>
    <w:lvl w:ilvl="0" w:tplc="DF86CB0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209D"/>
    <w:multiLevelType w:val="hybridMultilevel"/>
    <w:tmpl w:val="962A3984"/>
    <w:lvl w:ilvl="0" w:tplc="FFB44BA8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39C0"/>
    <w:multiLevelType w:val="hybridMultilevel"/>
    <w:tmpl w:val="C7F0F384"/>
    <w:lvl w:ilvl="0" w:tplc="C8168B9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756F5C"/>
    <w:multiLevelType w:val="hybridMultilevel"/>
    <w:tmpl w:val="C37274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61D6"/>
    <w:multiLevelType w:val="hybridMultilevel"/>
    <w:tmpl w:val="27068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D"/>
    <w:rsid w:val="00007C98"/>
    <w:rsid w:val="00013A9A"/>
    <w:rsid w:val="00016F39"/>
    <w:rsid w:val="000217E6"/>
    <w:rsid w:val="00023574"/>
    <w:rsid w:val="0002364D"/>
    <w:rsid w:val="00027B03"/>
    <w:rsid w:val="00030CA2"/>
    <w:rsid w:val="00031F9F"/>
    <w:rsid w:val="000424E7"/>
    <w:rsid w:val="000547BA"/>
    <w:rsid w:val="000575B3"/>
    <w:rsid w:val="000D1344"/>
    <w:rsid w:val="000D46E4"/>
    <w:rsid w:val="000F3F70"/>
    <w:rsid w:val="001217B8"/>
    <w:rsid w:val="00132D50"/>
    <w:rsid w:val="001555DD"/>
    <w:rsid w:val="001601EE"/>
    <w:rsid w:val="00172CFB"/>
    <w:rsid w:val="0017686E"/>
    <w:rsid w:val="00177E40"/>
    <w:rsid w:val="001B2672"/>
    <w:rsid w:val="001B6015"/>
    <w:rsid w:val="001D6D23"/>
    <w:rsid w:val="001E3994"/>
    <w:rsid w:val="002111EA"/>
    <w:rsid w:val="00213C04"/>
    <w:rsid w:val="00215650"/>
    <w:rsid w:val="00220164"/>
    <w:rsid w:val="00234365"/>
    <w:rsid w:val="00237C1E"/>
    <w:rsid w:val="00247D59"/>
    <w:rsid w:val="00260EC3"/>
    <w:rsid w:val="00263261"/>
    <w:rsid w:val="00297397"/>
    <w:rsid w:val="002A3301"/>
    <w:rsid w:val="002B2CD1"/>
    <w:rsid w:val="002C5707"/>
    <w:rsid w:val="002E3865"/>
    <w:rsid w:val="00312830"/>
    <w:rsid w:val="00315A2E"/>
    <w:rsid w:val="00357699"/>
    <w:rsid w:val="0039684A"/>
    <w:rsid w:val="003C046D"/>
    <w:rsid w:val="003C75E6"/>
    <w:rsid w:val="003D5503"/>
    <w:rsid w:val="003F5C94"/>
    <w:rsid w:val="00403C9A"/>
    <w:rsid w:val="0041443A"/>
    <w:rsid w:val="004326BE"/>
    <w:rsid w:val="0044766D"/>
    <w:rsid w:val="00456C79"/>
    <w:rsid w:val="004B4F05"/>
    <w:rsid w:val="004D6647"/>
    <w:rsid w:val="004F062E"/>
    <w:rsid w:val="004F5C59"/>
    <w:rsid w:val="005125CF"/>
    <w:rsid w:val="005150A7"/>
    <w:rsid w:val="005155FE"/>
    <w:rsid w:val="005303E2"/>
    <w:rsid w:val="00581330"/>
    <w:rsid w:val="00585A9C"/>
    <w:rsid w:val="00587AE2"/>
    <w:rsid w:val="005B4DCD"/>
    <w:rsid w:val="005B702F"/>
    <w:rsid w:val="005F24DF"/>
    <w:rsid w:val="00611547"/>
    <w:rsid w:val="006179EB"/>
    <w:rsid w:val="00623FA7"/>
    <w:rsid w:val="0063008A"/>
    <w:rsid w:val="006608B6"/>
    <w:rsid w:val="00663FBB"/>
    <w:rsid w:val="00665AED"/>
    <w:rsid w:val="0067070A"/>
    <w:rsid w:val="00695834"/>
    <w:rsid w:val="006973E9"/>
    <w:rsid w:val="006A1D76"/>
    <w:rsid w:val="006A761E"/>
    <w:rsid w:val="006B2621"/>
    <w:rsid w:val="006F1876"/>
    <w:rsid w:val="00703D65"/>
    <w:rsid w:val="007059DF"/>
    <w:rsid w:val="00764BD7"/>
    <w:rsid w:val="00775EB8"/>
    <w:rsid w:val="007853D4"/>
    <w:rsid w:val="00790D81"/>
    <w:rsid w:val="007A42FB"/>
    <w:rsid w:val="007B46D6"/>
    <w:rsid w:val="007B55C7"/>
    <w:rsid w:val="007D3F53"/>
    <w:rsid w:val="007F5FF7"/>
    <w:rsid w:val="00805F23"/>
    <w:rsid w:val="00810473"/>
    <w:rsid w:val="00844692"/>
    <w:rsid w:val="00860A57"/>
    <w:rsid w:val="00876310"/>
    <w:rsid w:val="008A2A14"/>
    <w:rsid w:val="008C4DE6"/>
    <w:rsid w:val="008D1837"/>
    <w:rsid w:val="008F2416"/>
    <w:rsid w:val="0093069E"/>
    <w:rsid w:val="00933538"/>
    <w:rsid w:val="0095554F"/>
    <w:rsid w:val="00973CEB"/>
    <w:rsid w:val="00982E63"/>
    <w:rsid w:val="00984990"/>
    <w:rsid w:val="009929E6"/>
    <w:rsid w:val="009C0894"/>
    <w:rsid w:val="009E2219"/>
    <w:rsid w:val="009E5F98"/>
    <w:rsid w:val="009E6F72"/>
    <w:rsid w:val="009F55AB"/>
    <w:rsid w:val="00A17CFF"/>
    <w:rsid w:val="00A43F00"/>
    <w:rsid w:val="00A50351"/>
    <w:rsid w:val="00A529DC"/>
    <w:rsid w:val="00A57DA7"/>
    <w:rsid w:val="00A640DA"/>
    <w:rsid w:val="00A67427"/>
    <w:rsid w:val="00A704FF"/>
    <w:rsid w:val="00A71441"/>
    <w:rsid w:val="00A91FA1"/>
    <w:rsid w:val="00AA09CA"/>
    <w:rsid w:val="00AA6E01"/>
    <w:rsid w:val="00AB0ADA"/>
    <w:rsid w:val="00AB0CBC"/>
    <w:rsid w:val="00AC4482"/>
    <w:rsid w:val="00AF33F5"/>
    <w:rsid w:val="00AF5BC4"/>
    <w:rsid w:val="00B07365"/>
    <w:rsid w:val="00B57243"/>
    <w:rsid w:val="00B670B0"/>
    <w:rsid w:val="00B8334E"/>
    <w:rsid w:val="00B8560A"/>
    <w:rsid w:val="00B91D05"/>
    <w:rsid w:val="00BC67BF"/>
    <w:rsid w:val="00BD3B15"/>
    <w:rsid w:val="00BE1794"/>
    <w:rsid w:val="00C06124"/>
    <w:rsid w:val="00C26C6D"/>
    <w:rsid w:val="00C27554"/>
    <w:rsid w:val="00C336DD"/>
    <w:rsid w:val="00C35CC1"/>
    <w:rsid w:val="00C47199"/>
    <w:rsid w:val="00C527D5"/>
    <w:rsid w:val="00C54329"/>
    <w:rsid w:val="00C6470B"/>
    <w:rsid w:val="00C8766C"/>
    <w:rsid w:val="00C90F22"/>
    <w:rsid w:val="00C945A9"/>
    <w:rsid w:val="00CB0F4C"/>
    <w:rsid w:val="00CB779B"/>
    <w:rsid w:val="00CC5921"/>
    <w:rsid w:val="00CE464D"/>
    <w:rsid w:val="00CF04AA"/>
    <w:rsid w:val="00CF4119"/>
    <w:rsid w:val="00D00498"/>
    <w:rsid w:val="00D72778"/>
    <w:rsid w:val="00D859E3"/>
    <w:rsid w:val="00DA5871"/>
    <w:rsid w:val="00DD6DAE"/>
    <w:rsid w:val="00DE6C5F"/>
    <w:rsid w:val="00DF03E7"/>
    <w:rsid w:val="00DF6C8B"/>
    <w:rsid w:val="00E025A0"/>
    <w:rsid w:val="00E03D9A"/>
    <w:rsid w:val="00E056AC"/>
    <w:rsid w:val="00E1051E"/>
    <w:rsid w:val="00E13DB5"/>
    <w:rsid w:val="00E1509A"/>
    <w:rsid w:val="00E24F70"/>
    <w:rsid w:val="00E300B3"/>
    <w:rsid w:val="00E52D64"/>
    <w:rsid w:val="00E57CAB"/>
    <w:rsid w:val="00E71140"/>
    <w:rsid w:val="00E73EA8"/>
    <w:rsid w:val="00E9064A"/>
    <w:rsid w:val="00E94B19"/>
    <w:rsid w:val="00E96437"/>
    <w:rsid w:val="00EC0C64"/>
    <w:rsid w:val="00ED2353"/>
    <w:rsid w:val="00ED6EF4"/>
    <w:rsid w:val="00EE20CF"/>
    <w:rsid w:val="00EF315A"/>
    <w:rsid w:val="00EF620C"/>
    <w:rsid w:val="00EF7E3B"/>
    <w:rsid w:val="00F128A4"/>
    <w:rsid w:val="00F2495F"/>
    <w:rsid w:val="00F37BE6"/>
    <w:rsid w:val="00F42DA6"/>
    <w:rsid w:val="00F43B01"/>
    <w:rsid w:val="00F46832"/>
    <w:rsid w:val="00F54E94"/>
    <w:rsid w:val="00F67BB2"/>
    <w:rsid w:val="00FA6CB5"/>
    <w:rsid w:val="00FC720E"/>
    <w:rsid w:val="00FE0733"/>
    <w:rsid w:val="00FE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94A"/>
  <w15:docId w15:val="{085CFA46-4924-4D25-806C-CABA3C9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90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85A9C"/>
  </w:style>
  <w:style w:type="character" w:styleId="Hyperlink">
    <w:name w:val="Hyperlink"/>
    <w:basedOn w:val="Fontepargpadro"/>
    <w:uiPriority w:val="99"/>
    <w:unhideWhenUsed/>
    <w:rsid w:val="00013A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A48"/>
    <w:pPr>
      <w:ind w:left="720"/>
      <w:contextualSpacing/>
    </w:pPr>
  </w:style>
  <w:style w:type="table" w:styleId="Tabelacomgrade">
    <w:name w:val="Table Grid"/>
    <w:basedOn w:val="Tabelanormal"/>
    <w:uiPriority w:val="39"/>
    <w:rsid w:val="005F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83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17C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7C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7C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C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CF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han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f.fazenda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3D40-5670-40E5-8FC7-CC360E8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Giandoni Ollaik</dc:creator>
  <cp:lastModifiedBy>Leila Giandoni Ollaik</cp:lastModifiedBy>
  <cp:revision>2</cp:revision>
  <dcterms:created xsi:type="dcterms:W3CDTF">2016-06-10T17:54:00Z</dcterms:created>
  <dcterms:modified xsi:type="dcterms:W3CDTF">2016-06-10T17:54:00Z</dcterms:modified>
</cp:coreProperties>
</file>